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56899">
      <w:pPr>
        <w:ind w:firstLine="657" w:firstLineChars="274"/>
        <w:jc w:val="left"/>
        <w:rPr>
          <w:rFonts w:hint="eastAsia" w:ascii="宋体" w:hAnsi="宋体" w:eastAsia="宋体" w:cs="宋体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szCs w:val="24"/>
        </w:rPr>
        <w:t>附件1</w:t>
      </w:r>
    </w:p>
    <w:p w14:paraId="189722BB">
      <w:pPr>
        <w:ind w:firstLine="0" w:firstLineChars="0"/>
        <w:jc w:val="left"/>
        <w:rPr>
          <w:rFonts w:hint="eastAsia" w:ascii="宋体" w:hAnsi="宋体" w:eastAsia="宋体" w:cs="宋体"/>
          <w:szCs w:val="24"/>
        </w:rPr>
      </w:pPr>
    </w:p>
    <w:p w14:paraId="520143A2">
      <w:pPr>
        <w:ind w:firstLine="0" w:firstLineChars="0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浙江省人民医院毕节医院2026年眼科设备采购项目公开询价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报名登记表</w:t>
      </w:r>
    </w:p>
    <w:p w14:paraId="28FEB153">
      <w:pPr>
        <w:ind w:firstLine="0" w:firstLineChars="0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494B7F4A">
      <w:pPr>
        <w:ind w:firstLine="0" w:firstLineChars="0"/>
        <w:rPr>
          <w:rFonts w:hint="default" w:ascii="宋体" w:hAnsi="宋体" w:eastAsia="宋体" w:cs="宋体"/>
          <w:sz w:val="28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4"/>
        </w:rPr>
        <w:t>报价单位名称：</w:t>
      </w:r>
      <w:r>
        <w:rPr>
          <w:rFonts w:hint="eastAsia" w:cs="宋体"/>
          <w:sz w:val="28"/>
          <w:szCs w:val="24"/>
          <w:u w:val="single"/>
          <w:lang w:val="en-US" w:eastAsia="zh-CN"/>
        </w:rPr>
        <w:t xml:space="preserve">                               </w:t>
      </w:r>
    </w:p>
    <w:p w14:paraId="3D7FF948">
      <w:pPr>
        <w:ind w:firstLine="0" w:firstLineChars="0"/>
        <w:rPr>
          <w:rFonts w:hint="eastAsia" w:ascii="宋体" w:hAnsi="宋体" w:eastAsia="宋体" w:cs="宋体"/>
          <w:sz w:val="28"/>
          <w:szCs w:val="24"/>
          <w:lang w:eastAsia="zh-CN"/>
        </w:rPr>
      </w:pPr>
      <w:r>
        <w:rPr>
          <w:rFonts w:hint="eastAsia" w:ascii="宋体" w:hAnsi="宋体" w:eastAsia="宋体" w:cs="宋体"/>
          <w:sz w:val="28"/>
          <w:szCs w:val="24"/>
        </w:rPr>
        <w:t>单位地址：</w:t>
      </w:r>
      <w:r>
        <w:rPr>
          <w:rFonts w:hint="eastAsia" w:cs="宋体"/>
          <w:sz w:val="28"/>
          <w:szCs w:val="24"/>
          <w:u w:val="single"/>
          <w:lang w:val="en-US" w:eastAsia="zh-CN"/>
        </w:rPr>
        <w:t xml:space="preserve">                               </w:t>
      </w:r>
    </w:p>
    <w:p w14:paraId="0F782D2A">
      <w:pPr>
        <w:ind w:firstLine="0" w:firstLineChars="0"/>
        <w:rPr>
          <w:rFonts w:hint="eastAsia" w:ascii="宋体" w:hAnsi="宋体" w:eastAsia="宋体" w:cs="宋体"/>
          <w:sz w:val="28"/>
          <w:szCs w:val="24"/>
        </w:rPr>
      </w:pPr>
      <w:r>
        <w:rPr>
          <w:rFonts w:hint="eastAsia" w:ascii="宋体" w:hAnsi="宋体" w:eastAsia="宋体" w:cs="宋体"/>
          <w:sz w:val="28"/>
          <w:szCs w:val="24"/>
        </w:rPr>
        <w:t>联系人：</w:t>
      </w:r>
      <w:r>
        <w:rPr>
          <w:rFonts w:hint="eastAsia" w:cs="宋体"/>
          <w:sz w:val="28"/>
          <w:szCs w:val="24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sz w:val="28"/>
          <w:szCs w:val="24"/>
        </w:rPr>
        <w:t>联系电话：</w:t>
      </w:r>
      <w:r>
        <w:rPr>
          <w:rFonts w:hint="eastAsia" w:cs="宋体"/>
          <w:sz w:val="28"/>
          <w:szCs w:val="24"/>
          <w:u w:val="single"/>
          <w:lang w:val="en-US" w:eastAsia="zh-CN"/>
        </w:rPr>
        <w:t xml:space="preserve">                         </w:t>
      </w:r>
    </w:p>
    <w:p w14:paraId="7CD8E686">
      <w:pPr>
        <w:ind w:left="1400" w:hanging="1400" w:hangingChars="500"/>
        <w:rPr>
          <w:rFonts w:hint="eastAsia" w:ascii="宋体" w:hAnsi="宋体" w:eastAsia="宋体" w:cs="宋体"/>
          <w:sz w:val="28"/>
          <w:szCs w:val="24"/>
        </w:rPr>
      </w:pPr>
      <w:r>
        <w:rPr>
          <w:rFonts w:hint="eastAsia" w:ascii="宋体" w:hAnsi="宋体" w:eastAsia="宋体" w:cs="宋体"/>
          <w:sz w:val="28"/>
          <w:szCs w:val="24"/>
        </w:rPr>
        <w:t>项目</w:t>
      </w:r>
      <w:r>
        <w:rPr>
          <w:rFonts w:hint="eastAsia" w:cs="宋体"/>
          <w:sz w:val="28"/>
          <w:szCs w:val="24"/>
          <w:lang w:val="en-US" w:eastAsia="zh-CN"/>
        </w:rPr>
        <w:t>名称</w:t>
      </w:r>
      <w:r>
        <w:rPr>
          <w:rFonts w:hint="eastAsia" w:ascii="宋体" w:hAnsi="宋体" w:eastAsia="宋体" w:cs="宋体"/>
          <w:sz w:val="28"/>
          <w:szCs w:val="24"/>
        </w:rPr>
        <w:t>：浙江省人民医院毕节医院2026年眼科设备采购项目公开询价</w:t>
      </w:r>
    </w:p>
    <w:p w14:paraId="7A46940F">
      <w:pPr>
        <w:ind w:left="0" w:leftChars="0" w:firstLine="0" w:firstLineChars="0"/>
        <w:rPr>
          <w:rFonts w:hint="eastAsia" w:ascii="宋体" w:hAnsi="宋体" w:eastAsia="宋体" w:cs="宋体"/>
          <w:sz w:val="28"/>
          <w:szCs w:val="24"/>
        </w:rPr>
      </w:pPr>
      <w:r>
        <w:rPr>
          <w:rFonts w:hint="eastAsia" w:cs="宋体"/>
          <w:sz w:val="28"/>
          <w:szCs w:val="24"/>
          <w:lang w:val="en-US" w:eastAsia="zh-CN"/>
        </w:rPr>
        <w:t>备注：</w:t>
      </w:r>
      <w:r>
        <w:rPr>
          <w:rFonts w:hint="eastAsia" w:ascii="宋体" w:hAnsi="宋体" w:eastAsia="宋体" w:cs="宋体"/>
          <w:sz w:val="28"/>
          <w:szCs w:val="24"/>
        </w:rPr>
        <w:t>我单位已认真阅读并理解贵方发布的浙江省人民医院毕节医院2026年眼科设备采购项目公开询价公告，满足贵方“供应商资格要求”的所有内容。我方报名参加本次</w:t>
      </w:r>
      <w:r>
        <w:rPr>
          <w:rFonts w:hint="eastAsia" w:cs="宋体"/>
          <w:sz w:val="28"/>
          <w:szCs w:val="24"/>
          <w:lang w:val="en-US" w:eastAsia="zh-CN"/>
        </w:rPr>
        <w:t>公开询价</w:t>
      </w:r>
      <w:r>
        <w:rPr>
          <w:rFonts w:hint="eastAsia" w:ascii="宋体" w:hAnsi="宋体" w:eastAsia="宋体" w:cs="宋体"/>
          <w:sz w:val="28"/>
          <w:szCs w:val="24"/>
        </w:rPr>
        <w:t>活动，并郑重承诺所提供的报价内容真实有效。</w:t>
      </w:r>
    </w:p>
    <w:p w14:paraId="1834B2C2">
      <w:pPr>
        <w:ind w:firstLine="560"/>
        <w:rPr>
          <w:rFonts w:hint="eastAsia" w:ascii="宋体" w:hAnsi="宋体" w:eastAsia="宋体" w:cs="宋体"/>
          <w:sz w:val="28"/>
          <w:szCs w:val="24"/>
        </w:rPr>
      </w:pPr>
    </w:p>
    <w:p w14:paraId="4FDA60D2">
      <w:pPr>
        <w:wordWrap w:val="0"/>
        <w:ind w:firstLine="560"/>
        <w:jc w:val="right"/>
        <w:rPr>
          <w:rFonts w:hint="eastAsia" w:ascii="宋体" w:hAnsi="宋体" w:eastAsia="宋体" w:cs="宋体"/>
          <w:sz w:val="28"/>
          <w:szCs w:val="24"/>
          <w:lang w:eastAsia="zh-CN"/>
        </w:rPr>
      </w:pPr>
      <w:r>
        <w:rPr>
          <w:rFonts w:hint="eastAsia" w:ascii="宋体" w:hAnsi="宋体" w:eastAsia="宋体" w:cs="宋体"/>
          <w:sz w:val="28"/>
          <w:szCs w:val="24"/>
        </w:rPr>
        <w:t>单位名称（盖章）：</w:t>
      </w:r>
    </w:p>
    <w:p w14:paraId="488F2DE9">
      <w:pPr>
        <w:ind w:firstLine="560"/>
        <w:jc w:val="right"/>
        <w:rPr>
          <w:rFonts w:hint="eastAsia" w:ascii="宋体" w:hAnsi="宋体" w:eastAsia="宋体" w:cs="宋体"/>
          <w:sz w:val="28"/>
          <w:szCs w:val="24"/>
        </w:rPr>
      </w:pPr>
    </w:p>
    <w:p w14:paraId="7EF5BA19">
      <w:pPr>
        <w:wordWrap w:val="0"/>
        <w:ind w:firstLine="560"/>
        <w:jc w:val="right"/>
        <w:rPr>
          <w:rFonts w:hint="eastAsia" w:ascii="宋体" w:hAnsi="宋体" w:eastAsia="宋体" w:cs="宋体"/>
          <w:sz w:val="28"/>
          <w:szCs w:val="24"/>
          <w:lang w:eastAsia="zh-CN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134" w:right="1418" w:bottom="992" w:left="1418" w:header="851" w:footer="992" w:gutter="0"/>
          <w:cols w:space="425" w:num="1"/>
          <w:docGrid w:type="lines" w:linePitch="326" w:charSpace="0"/>
        </w:sectPr>
      </w:pPr>
      <w:r>
        <w:rPr>
          <w:rFonts w:hint="eastAsia" w:ascii="宋体" w:hAnsi="宋体" w:eastAsia="宋体" w:cs="宋体"/>
          <w:sz w:val="28"/>
          <w:szCs w:val="24"/>
        </w:rPr>
        <w:t>日期：202</w:t>
      </w:r>
      <w:r>
        <w:rPr>
          <w:rFonts w:hint="eastAsia" w:cs="宋体"/>
          <w:sz w:val="28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4"/>
        </w:rPr>
        <w:t>年</w:t>
      </w:r>
      <w:r>
        <w:rPr>
          <w:rFonts w:hint="eastAsia" w:cs="宋体"/>
          <w:sz w:val="28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4"/>
        </w:rPr>
        <w:t>月</w:t>
      </w:r>
      <w:r>
        <w:rPr>
          <w:rFonts w:hint="eastAsia" w:cs="宋体"/>
          <w:sz w:val="28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4"/>
        </w:rPr>
        <w:t>日</w:t>
      </w:r>
    </w:p>
    <w:p w14:paraId="7864A6B8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附件2</w:t>
      </w:r>
    </w:p>
    <w:p w14:paraId="48C5344D">
      <w:pPr>
        <w:ind w:firstLine="883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cs="宋体"/>
          <w:b/>
          <w:bCs/>
          <w:sz w:val="44"/>
          <w:szCs w:val="44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b/>
          <w:bCs/>
          <w:sz w:val="44"/>
          <w:szCs w:val="44"/>
          <w:u w:val="single"/>
        </w:rPr>
        <w:t>公司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报价单</w:t>
      </w:r>
    </w:p>
    <w:p w14:paraId="05F8EFC6">
      <w:pPr>
        <w:ind w:firstLine="883"/>
        <w:jc w:val="center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报价项目：</w:t>
      </w:r>
      <w:r>
        <w:rPr>
          <w:rFonts w:hint="eastAsia" w:ascii="宋体" w:hAnsi="宋体" w:eastAsia="宋体" w:cs="宋体"/>
          <w:sz w:val="28"/>
          <w:szCs w:val="24"/>
        </w:rPr>
        <w:t>浙江省人民医院毕节医院2026年眼科设备采购项目</w:t>
      </w:r>
    </w:p>
    <w:tbl>
      <w:tblPr>
        <w:tblStyle w:val="7"/>
        <w:tblW w:w="15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1593"/>
        <w:gridCol w:w="3085"/>
        <w:gridCol w:w="2185"/>
        <w:gridCol w:w="2288"/>
        <w:gridCol w:w="1388"/>
        <w:gridCol w:w="1388"/>
        <w:gridCol w:w="1722"/>
        <w:gridCol w:w="802"/>
      </w:tblGrid>
      <w:tr w14:paraId="3B98B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tcW w:w="926" w:type="dxa"/>
            <w:vAlign w:val="center"/>
          </w:tcPr>
          <w:p w14:paraId="48AFE93C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sz w:val="28"/>
                <w:szCs w:val="24"/>
              </w:rPr>
              <w:t>序号</w:t>
            </w:r>
          </w:p>
        </w:tc>
        <w:tc>
          <w:tcPr>
            <w:tcW w:w="1593" w:type="dxa"/>
            <w:vAlign w:val="center"/>
          </w:tcPr>
          <w:p w14:paraId="114395C1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4"/>
              </w:rPr>
              <w:t>申请科室</w:t>
            </w:r>
          </w:p>
        </w:tc>
        <w:tc>
          <w:tcPr>
            <w:tcW w:w="3085" w:type="dxa"/>
            <w:vAlign w:val="center"/>
          </w:tcPr>
          <w:p w14:paraId="602CF99F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sz w:val="28"/>
                <w:szCs w:val="24"/>
                <w:lang w:val="en-US" w:eastAsia="zh-CN"/>
              </w:rPr>
              <w:t>医学装备</w:t>
            </w:r>
            <w:r>
              <w:rPr>
                <w:rFonts w:hint="eastAsia" w:ascii="宋体" w:hAnsi="宋体" w:eastAsia="宋体" w:cs="宋体"/>
                <w:sz w:val="28"/>
                <w:szCs w:val="24"/>
              </w:rPr>
              <w:t>名称</w:t>
            </w:r>
          </w:p>
        </w:tc>
        <w:tc>
          <w:tcPr>
            <w:tcW w:w="2185" w:type="dxa"/>
            <w:vAlign w:val="center"/>
          </w:tcPr>
          <w:p w14:paraId="5D610E32">
            <w:p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8"/>
                <w:szCs w:val="24"/>
                <w:lang w:val="en-US" w:eastAsia="zh-CN"/>
              </w:rPr>
            </w:pPr>
            <w:r>
              <w:rPr>
                <w:rFonts w:hint="eastAsia" w:cs="宋体"/>
                <w:sz w:val="28"/>
                <w:szCs w:val="24"/>
                <w:lang w:val="en-US" w:eastAsia="zh-CN"/>
              </w:rPr>
              <w:t>规格</w:t>
            </w:r>
          </w:p>
        </w:tc>
        <w:tc>
          <w:tcPr>
            <w:tcW w:w="2288" w:type="dxa"/>
            <w:vAlign w:val="center"/>
          </w:tcPr>
          <w:p w14:paraId="6605EE0C">
            <w:p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8"/>
                <w:szCs w:val="24"/>
                <w:lang w:val="en-US" w:eastAsia="zh-CN"/>
              </w:rPr>
            </w:pPr>
            <w:r>
              <w:rPr>
                <w:rFonts w:hint="eastAsia" w:cs="宋体"/>
                <w:sz w:val="28"/>
                <w:szCs w:val="24"/>
                <w:lang w:val="en-US" w:eastAsia="zh-CN"/>
              </w:rPr>
              <w:t>生产厂家</w:t>
            </w:r>
          </w:p>
        </w:tc>
        <w:tc>
          <w:tcPr>
            <w:tcW w:w="1388" w:type="dxa"/>
            <w:vAlign w:val="center"/>
          </w:tcPr>
          <w:p w14:paraId="3D218C87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sz w:val="28"/>
                <w:szCs w:val="24"/>
              </w:rPr>
              <w:t>数量</w:t>
            </w:r>
          </w:p>
        </w:tc>
        <w:tc>
          <w:tcPr>
            <w:tcW w:w="1388" w:type="dxa"/>
            <w:vAlign w:val="center"/>
          </w:tcPr>
          <w:p w14:paraId="0017E62B">
            <w:p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8"/>
                <w:szCs w:val="24"/>
                <w:lang w:val="en-US" w:eastAsia="zh-CN"/>
              </w:rPr>
            </w:pPr>
            <w:r>
              <w:rPr>
                <w:rFonts w:hint="eastAsia" w:cs="宋体"/>
                <w:sz w:val="28"/>
                <w:szCs w:val="24"/>
                <w:lang w:val="en-US" w:eastAsia="zh-CN"/>
              </w:rPr>
              <w:t>单价（元）</w:t>
            </w:r>
          </w:p>
        </w:tc>
        <w:tc>
          <w:tcPr>
            <w:tcW w:w="1722" w:type="dxa"/>
            <w:vAlign w:val="center"/>
          </w:tcPr>
          <w:p w14:paraId="704857C5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sz w:val="28"/>
                <w:szCs w:val="24"/>
              </w:rPr>
              <w:t>是否为进口设备</w:t>
            </w:r>
          </w:p>
        </w:tc>
        <w:tc>
          <w:tcPr>
            <w:tcW w:w="802" w:type="dxa"/>
            <w:vAlign w:val="center"/>
          </w:tcPr>
          <w:p w14:paraId="158FD231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sz w:val="28"/>
                <w:szCs w:val="24"/>
              </w:rPr>
              <w:t>备注</w:t>
            </w:r>
          </w:p>
        </w:tc>
      </w:tr>
      <w:tr w14:paraId="0D6EA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926" w:type="dxa"/>
            <w:vAlign w:val="center"/>
          </w:tcPr>
          <w:p w14:paraId="7C9F3715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4"/>
                <w:lang w:val="en-US" w:eastAsia="zh-CN"/>
              </w:rPr>
              <w:t>1</w:t>
            </w:r>
          </w:p>
        </w:tc>
        <w:tc>
          <w:tcPr>
            <w:tcW w:w="1593" w:type="dxa"/>
            <w:vMerge w:val="restart"/>
            <w:vAlign w:val="center"/>
          </w:tcPr>
          <w:p w14:paraId="03BD993D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4"/>
                <w:lang w:val="en-US" w:eastAsia="zh-CN"/>
              </w:rPr>
              <w:t>眼科</w:t>
            </w:r>
          </w:p>
        </w:tc>
        <w:tc>
          <w:tcPr>
            <w:tcW w:w="3085" w:type="dxa"/>
            <w:vAlign w:val="center"/>
          </w:tcPr>
          <w:p w14:paraId="7864C03A">
            <w:p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4"/>
                <w:lang w:val="en-US" w:eastAsia="zh-CN"/>
              </w:rPr>
              <w:t>验光仪</w:t>
            </w:r>
          </w:p>
        </w:tc>
        <w:tc>
          <w:tcPr>
            <w:tcW w:w="2185" w:type="dxa"/>
            <w:vAlign w:val="center"/>
          </w:tcPr>
          <w:p w14:paraId="3D57367D">
            <w:p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8"/>
                <w:szCs w:val="24"/>
                <w:lang w:val="en-US" w:eastAsia="zh-CN"/>
              </w:rPr>
            </w:pPr>
          </w:p>
        </w:tc>
        <w:tc>
          <w:tcPr>
            <w:tcW w:w="2288" w:type="dxa"/>
            <w:vAlign w:val="center"/>
          </w:tcPr>
          <w:p w14:paraId="6C1395E3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4"/>
                <w:lang w:val="en-US" w:eastAsia="zh-CN"/>
              </w:rPr>
            </w:pPr>
          </w:p>
        </w:tc>
        <w:tc>
          <w:tcPr>
            <w:tcW w:w="1388" w:type="dxa"/>
            <w:vAlign w:val="center"/>
          </w:tcPr>
          <w:p w14:paraId="206C3C23">
            <w:p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4"/>
                <w:lang w:val="en-US" w:eastAsia="zh-CN"/>
              </w:rPr>
              <w:t>1台</w:t>
            </w:r>
          </w:p>
        </w:tc>
        <w:tc>
          <w:tcPr>
            <w:tcW w:w="1388" w:type="dxa"/>
            <w:vAlign w:val="center"/>
          </w:tcPr>
          <w:p w14:paraId="3DDC4853">
            <w:pPr>
              <w:ind w:firstLine="883"/>
              <w:jc w:val="center"/>
              <w:rPr>
                <w:rFonts w:hint="eastAsia" w:ascii="宋体" w:hAnsi="宋体" w:eastAsia="宋体" w:cs="宋体"/>
                <w:sz w:val="28"/>
                <w:szCs w:val="24"/>
                <w:lang w:val="en-US" w:eastAsia="zh-CN"/>
              </w:rPr>
            </w:pPr>
          </w:p>
        </w:tc>
        <w:tc>
          <w:tcPr>
            <w:tcW w:w="1722" w:type="dxa"/>
            <w:vAlign w:val="center"/>
          </w:tcPr>
          <w:p w14:paraId="0729B853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sz w:val="28"/>
                <w:szCs w:val="24"/>
                <w:lang w:val="en-US" w:eastAsia="zh-CN"/>
              </w:rPr>
              <w:t>否</w:t>
            </w:r>
          </w:p>
        </w:tc>
        <w:tc>
          <w:tcPr>
            <w:tcW w:w="802" w:type="dxa"/>
            <w:vAlign w:val="center"/>
          </w:tcPr>
          <w:p w14:paraId="6C32F43C">
            <w:pPr>
              <w:ind w:firstLine="883"/>
              <w:jc w:val="center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</w:tr>
      <w:tr w14:paraId="28F07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26" w:type="dxa"/>
            <w:vAlign w:val="center"/>
          </w:tcPr>
          <w:p w14:paraId="6281C396">
            <w:p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4"/>
                <w:lang w:val="en-US" w:eastAsia="zh-CN"/>
              </w:rPr>
              <w:t>2</w:t>
            </w:r>
          </w:p>
        </w:tc>
        <w:tc>
          <w:tcPr>
            <w:tcW w:w="1593" w:type="dxa"/>
            <w:vMerge w:val="continue"/>
            <w:vAlign w:val="center"/>
          </w:tcPr>
          <w:p w14:paraId="2C50BA8F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4"/>
                <w:lang w:val="en-US" w:eastAsia="zh-CN"/>
              </w:rPr>
            </w:pPr>
          </w:p>
        </w:tc>
        <w:tc>
          <w:tcPr>
            <w:tcW w:w="3085" w:type="dxa"/>
            <w:vAlign w:val="center"/>
          </w:tcPr>
          <w:p w14:paraId="180ABC62">
            <w:p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4"/>
                <w:lang w:val="en-US" w:eastAsia="zh-CN"/>
              </w:rPr>
              <w:t>眼前段照相系统</w:t>
            </w:r>
          </w:p>
        </w:tc>
        <w:tc>
          <w:tcPr>
            <w:tcW w:w="2185" w:type="dxa"/>
            <w:vAlign w:val="center"/>
          </w:tcPr>
          <w:p w14:paraId="791D8418">
            <w:pPr>
              <w:ind w:firstLine="883"/>
              <w:jc w:val="center"/>
              <w:rPr>
                <w:rFonts w:hint="default" w:ascii="宋体" w:hAnsi="宋体" w:eastAsia="宋体" w:cs="宋体"/>
                <w:sz w:val="28"/>
                <w:szCs w:val="24"/>
                <w:lang w:val="en-US" w:eastAsia="zh-CN"/>
              </w:rPr>
            </w:pPr>
          </w:p>
        </w:tc>
        <w:tc>
          <w:tcPr>
            <w:tcW w:w="2288" w:type="dxa"/>
            <w:vAlign w:val="center"/>
          </w:tcPr>
          <w:p w14:paraId="7A7D9812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4"/>
                <w:lang w:val="en-US" w:eastAsia="zh-CN"/>
              </w:rPr>
            </w:pPr>
          </w:p>
        </w:tc>
        <w:tc>
          <w:tcPr>
            <w:tcW w:w="1388" w:type="dxa"/>
            <w:vAlign w:val="center"/>
          </w:tcPr>
          <w:p w14:paraId="286CE8C4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4"/>
                <w:lang w:val="en-US" w:eastAsia="zh-CN"/>
              </w:rPr>
              <w:t>2台</w:t>
            </w:r>
          </w:p>
        </w:tc>
        <w:tc>
          <w:tcPr>
            <w:tcW w:w="1388" w:type="dxa"/>
            <w:vAlign w:val="center"/>
          </w:tcPr>
          <w:p w14:paraId="401EEAB6">
            <w:pPr>
              <w:ind w:firstLine="883"/>
              <w:jc w:val="center"/>
              <w:rPr>
                <w:rFonts w:hint="eastAsia" w:ascii="宋体" w:hAnsi="宋体" w:eastAsia="宋体" w:cs="宋体"/>
                <w:sz w:val="28"/>
                <w:szCs w:val="24"/>
                <w:lang w:val="en-US" w:eastAsia="zh-CN"/>
              </w:rPr>
            </w:pPr>
          </w:p>
        </w:tc>
        <w:tc>
          <w:tcPr>
            <w:tcW w:w="1722" w:type="dxa"/>
            <w:vAlign w:val="center"/>
          </w:tcPr>
          <w:p w14:paraId="027ECA3D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sz w:val="28"/>
                <w:szCs w:val="24"/>
                <w:lang w:val="en-US" w:eastAsia="zh-CN"/>
              </w:rPr>
              <w:t>否</w:t>
            </w:r>
          </w:p>
        </w:tc>
        <w:tc>
          <w:tcPr>
            <w:tcW w:w="802" w:type="dxa"/>
            <w:vAlign w:val="center"/>
          </w:tcPr>
          <w:p w14:paraId="522D666E">
            <w:pPr>
              <w:ind w:firstLine="883"/>
              <w:jc w:val="center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</w:tr>
      <w:tr w14:paraId="65688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926" w:type="dxa"/>
            <w:vAlign w:val="center"/>
          </w:tcPr>
          <w:p w14:paraId="45CF07C1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4"/>
                <w:lang w:val="en-US" w:eastAsia="zh-CN"/>
              </w:rPr>
              <w:t>3</w:t>
            </w:r>
          </w:p>
        </w:tc>
        <w:tc>
          <w:tcPr>
            <w:tcW w:w="1593" w:type="dxa"/>
            <w:vMerge w:val="continue"/>
            <w:vAlign w:val="center"/>
          </w:tcPr>
          <w:p w14:paraId="5B6E6377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4"/>
                <w:lang w:val="en-US" w:eastAsia="zh-CN"/>
              </w:rPr>
            </w:pPr>
          </w:p>
        </w:tc>
        <w:tc>
          <w:tcPr>
            <w:tcW w:w="3085" w:type="dxa"/>
            <w:vAlign w:val="center"/>
          </w:tcPr>
          <w:p w14:paraId="1D3F7BD5">
            <w:p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4"/>
                <w:lang w:val="en-US" w:eastAsia="zh-CN"/>
              </w:rPr>
              <w:t>眼科超声诊断仪</w:t>
            </w:r>
          </w:p>
        </w:tc>
        <w:tc>
          <w:tcPr>
            <w:tcW w:w="2185" w:type="dxa"/>
            <w:vAlign w:val="center"/>
          </w:tcPr>
          <w:p w14:paraId="5862DCB1">
            <w:pPr>
              <w:ind w:firstLine="883"/>
              <w:jc w:val="center"/>
              <w:rPr>
                <w:rFonts w:hint="default" w:ascii="宋体" w:hAnsi="宋体" w:eastAsia="宋体" w:cs="宋体"/>
                <w:sz w:val="28"/>
                <w:szCs w:val="24"/>
                <w:lang w:val="en-US" w:eastAsia="zh-CN"/>
              </w:rPr>
            </w:pPr>
          </w:p>
        </w:tc>
        <w:tc>
          <w:tcPr>
            <w:tcW w:w="2288" w:type="dxa"/>
            <w:vAlign w:val="center"/>
          </w:tcPr>
          <w:p w14:paraId="54B74160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4"/>
                <w:lang w:val="en-US" w:eastAsia="zh-CN"/>
              </w:rPr>
            </w:pPr>
          </w:p>
        </w:tc>
        <w:tc>
          <w:tcPr>
            <w:tcW w:w="1388" w:type="dxa"/>
            <w:vAlign w:val="center"/>
          </w:tcPr>
          <w:p w14:paraId="57551113">
            <w:p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4"/>
                <w:lang w:val="en-US" w:eastAsia="zh-CN"/>
              </w:rPr>
              <w:t>1台</w:t>
            </w:r>
          </w:p>
        </w:tc>
        <w:tc>
          <w:tcPr>
            <w:tcW w:w="1388" w:type="dxa"/>
            <w:vAlign w:val="center"/>
          </w:tcPr>
          <w:p w14:paraId="5D5EE753">
            <w:pPr>
              <w:ind w:firstLine="883"/>
              <w:jc w:val="center"/>
              <w:rPr>
                <w:rFonts w:hint="eastAsia" w:ascii="宋体" w:hAnsi="宋体" w:eastAsia="宋体" w:cs="宋体"/>
                <w:sz w:val="28"/>
                <w:szCs w:val="24"/>
                <w:lang w:val="en-US" w:eastAsia="zh-CN"/>
              </w:rPr>
            </w:pPr>
          </w:p>
        </w:tc>
        <w:tc>
          <w:tcPr>
            <w:tcW w:w="1722" w:type="dxa"/>
            <w:vAlign w:val="center"/>
          </w:tcPr>
          <w:p w14:paraId="512CD2AA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sz w:val="28"/>
                <w:szCs w:val="24"/>
                <w:lang w:val="en-US" w:eastAsia="zh-CN"/>
              </w:rPr>
              <w:t>否</w:t>
            </w:r>
          </w:p>
        </w:tc>
        <w:tc>
          <w:tcPr>
            <w:tcW w:w="802" w:type="dxa"/>
            <w:vAlign w:val="center"/>
          </w:tcPr>
          <w:p w14:paraId="12C6FDF5">
            <w:pPr>
              <w:ind w:firstLine="883"/>
              <w:jc w:val="center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</w:tr>
      <w:tr w14:paraId="45C1C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26" w:type="dxa"/>
            <w:vAlign w:val="center"/>
          </w:tcPr>
          <w:p w14:paraId="0ABB2CDD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4"/>
                <w:lang w:val="en-US" w:eastAsia="zh-CN"/>
              </w:rPr>
              <w:t>4</w:t>
            </w:r>
          </w:p>
        </w:tc>
        <w:tc>
          <w:tcPr>
            <w:tcW w:w="1593" w:type="dxa"/>
            <w:vMerge w:val="continue"/>
            <w:vAlign w:val="center"/>
          </w:tcPr>
          <w:p w14:paraId="41788A0B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4"/>
                <w:lang w:val="en-US" w:eastAsia="zh-CN"/>
              </w:rPr>
            </w:pPr>
          </w:p>
        </w:tc>
        <w:tc>
          <w:tcPr>
            <w:tcW w:w="3085" w:type="dxa"/>
            <w:vAlign w:val="center"/>
          </w:tcPr>
          <w:p w14:paraId="5F742EEC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4"/>
                <w:lang w:val="en-US" w:eastAsia="zh-CN"/>
              </w:rPr>
              <w:t>同视机</w:t>
            </w:r>
          </w:p>
        </w:tc>
        <w:tc>
          <w:tcPr>
            <w:tcW w:w="2185" w:type="dxa"/>
            <w:vAlign w:val="center"/>
          </w:tcPr>
          <w:p w14:paraId="7DC4FEAF">
            <w:pPr>
              <w:ind w:firstLine="883"/>
              <w:jc w:val="center"/>
              <w:rPr>
                <w:rFonts w:hint="eastAsia" w:ascii="宋体" w:hAnsi="宋体" w:eastAsia="宋体" w:cs="宋体"/>
                <w:sz w:val="28"/>
                <w:szCs w:val="24"/>
                <w:lang w:val="en-US" w:eastAsia="zh-CN"/>
              </w:rPr>
            </w:pPr>
          </w:p>
        </w:tc>
        <w:tc>
          <w:tcPr>
            <w:tcW w:w="2288" w:type="dxa"/>
            <w:vAlign w:val="center"/>
          </w:tcPr>
          <w:p w14:paraId="30E28157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4"/>
                <w:lang w:val="en-US" w:eastAsia="zh-CN"/>
              </w:rPr>
            </w:pPr>
          </w:p>
        </w:tc>
        <w:tc>
          <w:tcPr>
            <w:tcW w:w="1388" w:type="dxa"/>
            <w:vAlign w:val="center"/>
          </w:tcPr>
          <w:p w14:paraId="649C991C">
            <w:p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4"/>
                <w:lang w:val="en-US" w:eastAsia="zh-CN"/>
              </w:rPr>
              <w:t>1台</w:t>
            </w:r>
          </w:p>
        </w:tc>
        <w:tc>
          <w:tcPr>
            <w:tcW w:w="1388" w:type="dxa"/>
            <w:vAlign w:val="center"/>
          </w:tcPr>
          <w:p w14:paraId="3D52B8DD">
            <w:pPr>
              <w:ind w:firstLine="883"/>
              <w:jc w:val="center"/>
              <w:rPr>
                <w:rFonts w:hint="eastAsia" w:ascii="宋体" w:hAnsi="宋体" w:eastAsia="宋体" w:cs="宋体"/>
                <w:sz w:val="28"/>
                <w:szCs w:val="24"/>
                <w:lang w:val="en-US" w:eastAsia="zh-CN"/>
              </w:rPr>
            </w:pPr>
          </w:p>
        </w:tc>
        <w:tc>
          <w:tcPr>
            <w:tcW w:w="1722" w:type="dxa"/>
            <w:vAlign w:val="center"/>
          </w:tcPr>
          <w:p w14:paraId="7813864B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sz w:val="28"/>
                <w:szCs w:val="24"/>
                <w:lang w:val="en-US" w:eastAsia="zh-CN"/>
              </w:rPr>
              <w:t>否</w:t>
            </w:r>
          </w:p>
        </w:tc>
        <w:tc>
          <w:tcPr>
            <w:tcW w:w="802" w:type="dxa"/>
            <w:vAlign w:val="center"/>
          </w:tcPr>
          <w:p w14:paraId="012D43D4">
            <w:pPr>
              <w:ind w:firstLine="883"/>
              <w:jc w:val="center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</w:tr>
      <w:tr w14:paraId="0333D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926" w:type="dxa"/>
            <w:vAlign w:val="center"/>
          </w:tcPr>
          <w:p w14:paraId="63311F74">
            <w:p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4"/>
                <w:lang w:val="en-US" w:eastAsia="zh-CN"/>
              </w:rPr>
              <w:t>5</w:t>
            </w:r>
          </w:p>
        </w:tc>
        <w:tc>
          <w:tcPr>
            <w:tcW w:w="1593" w:type="dxa"/>
            <w:vMerge w:val="continue"/>
            <w:shd w:val="clear" w:color="auto" w:fill="auto"/>
            <w:vAlign w:val="center"/>
          </w:tcPr>
          <w:p w14:paraId="3C49638B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4"/>
                <w:lang w:val="en-US" w:eastAsia="zh-CN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 w14:paraId="13BDBA69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4"/>
                <w:lang w:val="en-US" w:eastAsia="zh-CN"/>
              </w:rPr>
              <w:t>视野计分析仪</w:t>
            </w:r>
          </w:p>
        </w:tc>
        <w:tc>
          <w:tcPr>
            <w:tcW w:w="2185" w:type="dxa"/>
            <w:vAlign w:val="center"/>
          </w:tcPr>
          <w:p w14:paraId="730F8833">
            <w:pPr>
              <w:ind w:firstLine="883"/>
              <w:jc w:val="center"/>
              <w:rPr>
                <w:rFonts w:hint="default" w:ascii="宋体" w:hAnsi="宋体" w:eastAsia="宋体" w:cs="宋体"/>
                <w:sz w:val="28"/>
                <w:szCs w:val="24"/>
                <w:lang w:val="en-US" w:eastAsia="zh-CN"/>
              </w:rPr>
            </w:pPr>
          </w:p>
        </w:tc>
        <w:tc>
          <w:tcPr>
            <w:tcW w:w="2288" w:type="dxa"/>
            <w:vAlign w:val="center"/>
          </w:tcPr>
          <w:p w14:paraId="7AE0E366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4"/>
                <w:lang w:val="en-US" w:eastAsia="zh-CN"/>
              </w:rPr>
            </w:pPr>
          </w:p>
        </w:tc>
        <w:tc>
          <w:tcPr>
            <w:tcW w:w="1388" w:type="dxa"/>
            <w:vAlign w:val="center"/>
          </w:tcPr>
          <w:p w14:paraId="7ADDF1B4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sz w:val="28"/>
                <w:szCs w:val="24"/>
                <w:lang w:val="en-US" w:eastAsia="zh-CN"/>
              </w:rPr>
              <w:t>1台</w:t>
            </w:r>
          </w:p>
        </w:tc>
        <w:tc>
          <w:tcPr>
            <w:tcW w:w="1388" w:type="dxa"/>
            <w:vAlign w:val="center"/>
          </w:tcPr>
          <w:p w14:paraId="2F121DD3">
            <w:pPr>
              <w:ind w:firstLine="883"/>
              <w:jc w:val="center"/>
              <w:rPr>
                <w:rFonts w:hint="eastAsia" w:ascii="宋体" w:hAnsi="宋体" w:eastAsia="宋体" w:cs="宋体"/>
                <w:sz w:val="28"/>
                <w:szCs w:val="24"/>
                <w:lang w:val="en-US" w:eastAsia="zh-CN"/>
              </w:rPr>
            </w:pPr>
          </w:p>
        </w:tc>
        <w:tc>
          <w:tcPr>
            <w:tcW w:w="1722" w:type="dxa"/>
            <w:vAlign w:val="center"/>
          </w:tcPr>
          <w:p w14:paraId="5D5B7D50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sz w:val="28"/>
                <w:szCs w:val="24"/>
                <w:lang w:val="en-US" w:eastAsia="zh-CN"/>
              </w:rPr>
              <w:t>是</w:t>
            </w:r>
          </w:p>
        </w:tc>
        <w:tc>
          <w:tcPr>
            <w:tcW w:w="802" w:type="dxa"/>
            <w:vAlign w:val="center"/>
          </w:tcPr>
          <w:p w14:paraId="05DB0233">
            <w:pPr>
              <w:ind w:firstLine="883"/>
              <w:jc w:val="center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</w:tr>
      <w:tr w14:paraId="7BB16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5377" w:type="dxa"/>
            <w:gridSpan w:val="9"/>
            <w:vAlign w:val="center"/>
          </w:tcPr>
          <w:p w14:paraId="6D5427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单价合计：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(该报价须包含招标代理服务费等各项成本)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小写：  （元）  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大写：</w:t>
            </w:r>
          </w:p>
        </w:tc>
      </w:tr>
    </w:tbl>
    <w:p w14:paraId="55DC9F98">
      <w:pPr>
        <w:ind w:firstLine="0" w:firstLineChars="0"/>
        <w:jc w:val="both"/>
        <w:rPr>
          <w:rFonts w:hint="eastAsia" w:ascii="宋体" w:hAnsi="宋体" w:eastAsia="宋体" w:cs="宋体"/>
          <w:b/>
          <w:bCs/>
          <w:sz w:val="28"/>
          <w:szCs w:val="28"/>
          <w:highlight w:val="yellow"/>
          <w:lang w:val="en-US" w:eastAsia="zh-CN"/>
        </w:rPr>
      </w:pPr>
    </w:p>
    <w:p w14:paraId="122B1952">
      <w:pPr>
        <w:ind w:firstLine="0" w:firstLineChars="0"/>
        <w:jc w:val="both"/>
        <w:rPr>
          <w:rFonts w:hint="eastAsia" w:ascii="宋体" w:hAnsi="宋体" w:eastAsia="宋体" w:cs="宋体"/>
          <w:b/>
          <w:bCs/>
          <w:sz w:val="28"/>
          <w:szCs w:val="28"/>
          <w:highlight w:val="yellow"/>
          <w:lang w:val="en-US" w:eastAsia="zh-CN"/>
        </w:rPr>
      </w:pPr>
    </w:p>
    <w:p w14:paraId="31219AB9">
      <w:pPr>
        <w:ind w:firstLine="0" w:firstLineChars="0"/>
        <w:jc w:val="both"/>
        <w:rPr>
          <w:rFonts w:hint="eastAsia" w:ascii="宋体" w:hAnsi="宋体" w:eastAsia="宋体" w:cs="宋体"/>
          <w:b/>
          <w:bCs/>
          <w:sz w:val="36"/>
          <w:szCs w:val="36"/>
          <w:highlight w:val="yellow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highlight w:val="yellow"/>
          <w:lang w:val="en-US" w:eastAsia="zh-CN"/>
        </w:rPr>
        <w:t>注：此报价里面的每项必须是</w:t>
      </w:r>
      <w:r>
        <w:rPr>
          <w:rFonts w:hint="eastAsia" w:cs="宋体"/>
          <w:b/>
          <w:bCs/>
          <w:sz w:val="36"/>
          <w:szCs w:val="36"/>
          <w:highlight w:val="yellow"/>
          <w:lang w:val="en-US" w:eastAsia="zh-CN"/>
        </w:rPr>
        <w:t>全部进行响应</w:t>
      </w:r>
      <w:r>
        <w:rPr>
          <w:rFonts w:hint="eastAsia" w:ascii="宋体" w:hAnsi="宋体" w:eastAsia="宋体" w:cs="宋体"/>
          <w:b/>
          <w:bCs/>
          <w:sz w:val="36"/>
          <w:szCs w:val="36"/>
          <w:highlight w:val="yellow"/>
          <w:lang w:val="en-US" w:eastAsia="zh-CN"/>
        </w:rPr>
        <w:t>报价，不能漏项或缺项。</w:t>
      </w:r>
    </w:p>
    <w:p w14:paraId="516677DC">
      <w:pPr>
        <w:ind w:firstLine="0" w:firstLineChars="0"/>
        <w:jc w:val="both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highlight w:val="yellow"/>
          <w:lang w:val="en-US" w:eastAsia="zh-CN"/>
        </w:rPr>
        <w:t>本项目报价为报单价，该报价包含招标代理服务费及其他成本</w:t>
      </w:r>
    </w:p>
    <w:p w14:paraId="585A371D">
      <w:pPr>
        <w:wordWrap w:val="0"/>
        <w:ind w:firstLine="640"/>
        <w:jc w:val="right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公司名称（盖章）：</w:t>
      </w:r>
    </w:p>
    <w:p w14:paraId="2762265C">
      <w:pPr>
        <w:wordWrap w:val="0"/>
        <w:ind w:firstLine="640"/>
        <w:jc w:val="right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联系</w:t>
      </w:r>
      <w:r>
        <w:rPr>
          <w:rFonts w:hint="eastAsia" w:cs="宋体"/>
          <w:sz w:val="32"/>
          <w:szCs w:val="32"/>
          <w:lang w:val="en-US" w:eastAsia="zh-CN"/>
        </w:rPr>
        <w:t>方式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p w14:paraId="6DC600B8">
      <w:pPr>
        <w:wordWrap w:val="0"/>
        <w:ind w:firstLine="640"/>
        <w:jc w:val="right"/>
        <w:rPr>
          <w:rFonts w:hint="eastAsia" w:ascii="宋体" w:hAnsi="宋体" w:eastAsia="宋体" w:cs="宋体"/>
          <w:sz w:val="32"/>
          <w:szCs w:val="32"/>
        </w:rPr>
        <w:sectPr>
          <w:pgSz w:w="16838" w:h="11906" w:orient="landscape"/>
          <w:pgMar w:top="720" w:right="720" w:bottom="720" w:left="720" w:header="851" w:footer="992" w:gutter="0"/>
          <w:cols w:space="425" w:num="1"/>
          <w:docGrid w:type="lines" w:linePitch="326" w:charSpace="0"/>
        </w:sectPr>
      </w:pPr>
      <w:r>
        <w:rPr>
          <w:rFonts w:hint="eastAsia" w:ascii="宋体" w:hAnsi="宋体" w:eastAsia="宋体" w:cs="宋体"/>
          <w:sz w:val="32"/>
          <w:szCs w:val="32"/>
        </w:rPr>
        <w:t>日期：</w:t>
      </w:r>
    </w:p>
    <w:p w14:paraId="7A291249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附件3</w:t>
      </w:r>
    </w:p>
    <w:p w14:paraId="5047B9BC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Times New Roman" w:hAnsi="Times New Roman" w:eastAsia="宋体" w:cs="Times New Roman"/>
          <w:b/>
          <w:bCs/>
          <w:sz w:val="44"/>
          <w:szCs w:val="44"/>
          <w:lang w:val="en-US" w:eastAsia="zh-CN"/>
        </w:rPr>
        <w:t>医学装备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技术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参数</w:t>
      </w:r>
    </w:p>
    <w:p w14:paraId="36B738C9"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36"/>
          <w:szCs w:val="36"/>
          <w:lang w:val="en-US" w:eastAsia="zh-CN" w:bidi="ar-SA"/>
        </w:rPr>
        <w:t>一、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验光仪</w:t>
      </w:r>
    </w:p>
    <w:p w14:paraId="7A018079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▲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1、测量范围：球镜：-30.00D—+25.00D（VD=12mm）（0.01/0.12/0.25D间隔）</w:t>
      </w:r>
    </w:p>
    <w:p w14:paraId="0B0463A7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           柱镜：0D—±12D（0.01/0.12/0.25D间隔）</w:t>
      </w:r>
    </w:p>
    <w:p w14:paraId="2F3EDEEA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           轴位：0°—180°（1°/5°间隔）。</w:t>
      </w:r>
    </w:p>
    <w:p w14:paraId="05DAC571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2、最小瞳孔直径：2mm。</w:t>
      </w:r>
    </w:p>
    <w:p w14:paraId="678329F3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▲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3、角膜曲率测量：曲率半径：5.00—13.00mm（0.01mm间隔）。</w:t>
      </w:r>
    </w:p>
    <w:p w14:paraId="30BBED94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屈光度：25.96D—67.50D（n=1.3375）（0.01/0.12/0.25D间隔）。</w:t>
      </w:r>
    </w:p>
    <w:p w14:paraId="776A5104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散光：0D—±12.00D（0.01/0.12/0.25D间隔）</w:t>
      </w:r>
    </w:p>
    <w:p w14:paraId="7FA22D9F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轴位：0°—180°（1°/5°间隔）。</w:t>
      </w:r>
    </w:p>
    <w:p w14:paraId="5D3C1753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4、角膜周边曲率测量范围：直径6.0mm（R=7.7mm）。</w:t>
      </w:r>
    </w:p>
    <w:p w14:paraId="6A910196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5、角膜中心曲率测量范围：直径3.3mm（R=7.7mm）。</w:t>
      </w:r>
    </w:p>
    <w:p w14:paraId="546A9955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▲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6、瞳距测量范围：30—85mm（1mm间隔）(近用PD：28—80mm，WD=40cm时)。</w:t>
      </w:r>
    </w:p>
    <w:p w14:paraId="1CB2205E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▲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7、角膜尺寸测量范围：10—14mm（0.1mm间隔）。</w:t>
      </w:r>
    </w:p>
    <w:p w14:paraId="5256B92B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8、瞳孔尺寸测量范围：1—10mm（0.1mm间隔）。</w:t>
      </w:r>
    </w:p>
    <w:p w14:paraId="45B97FE0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9、有自动测量自动追踪功能。</w:t>
      </w:r>
    </w:p>
    <w:p w14:paraId="1E8D4028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▲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10、矫正前后的视力比较：范围-20—+20D。</w:t>
      </w:r>
    </w:p>
    <w:p w14:paraId="41B29800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11、显示器：可倾斜≥90°的5.7英寸以上的彩色液晶LCD。</w:t>
      </w:r>
    </w:p>
    <w:p w14:paraId="2349C8CF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12、打印机：内置热敏行式打印机，打印纸无需穿过打印机，有自动切纸功能。</w:t>
      </w:r>
    </w:p>
    <w:p w14:paraId="708336ED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13、数据接口：RS-232C（IN/OUT） USB   Eyecare数据传输卡。</w:t>
      </w:r>
    </w:p>
    <w:p w14:paraId="25ABEBFF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14、电源：AC100-240V±10%    50/60Hz。</w:t>
      </w:r>
    </w:p>
    <w:p w14:paraId="5BEF85BB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15、基本配置要求：主机1台、打印纸3卷、电源线1根、防尘罩1个、下颚托垫纸1卷、下颚托垫纸固定针2根、操作手册1本、模拟眼1个、升降台1个。</w:t>
      </w:r>
    </w:p>
    <w:p w14:paraId="1A9141FE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16、原厂质保≥5年。</w:t>
      </w:r>
    </w:p>
    <w:p w14:paraId="54932EA8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17、使用年限≥8年。</w:t>
      </w:r>
    </w:p>
    <w:p w14:paraId="2B734CA6">
      <w:pPr>
        <w:rPr>
          <w:rFonts w:hint="eastAsia" w:ascii="宋体" w:hAnsi="宋体" w:eastAsia="宋体" w:cs="宋体"/>
          <w:b/>
          <w:bCs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36"/>
          <w:szCs w:val="36"/>
          <w:lang w:val="en-US" w:eastAsia="zh-CN" w:bidi="ar-SA"/>
        </w:rPr>
        <w:br w:type="page"/>
      </w:r>
    </w:p>
    <w:p w14:paraId="47432A11">
      <w:pPr>
        <w:numPr>
          <w:ilvl w:val="0"/>
          <w:numId w:val="0"/>
        </w:numPr>
        <w:ind w:firstLine="723" w:firstLineChars="200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36"/>
          <w:szCs w:val="36"/>
          <w:lang w:val="en-US" w:eastAsia="zh-CN" w:bidi="ar-SA"/>
        </w:rPr>
        <w:t>二、眼前段照相系统</w:t>
      </w:r>
    </w:p>
    <w:p w14:paraId="58B6BFF4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1、显微镜类型：伽利略型。</w:t>
      </w:r>
    </w:p>
    <w:p w14:paraId="2E609D07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2、放大率：6×、10×、16×、25×、40×。</w:t>
      </w:r>
    </w:p>
    <w:p w14:paraId="1F15A4F4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3、裂隙宽度调节范围：0-13mm。</w:t>
      </w:r>
    </w:p>
    <w:p w14:paraId="5E9B3C0F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4、最大裂隙长度：≥13mm。</w:t>
      </w:r>
    </w:p>
    <w:p w14:paraId="1BB6FA39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5、光圈直径：14、10、5、2、1、0.2mm。</w:t>
      </w:r>
    </w:p>
    <w:p w14:paraId="3D39DB95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6、裂隙角度：0°-180°。</w:t>
      </w:r>
    </w:p>
    <w:p w14:paraId="742799A2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7、裂隙倾斜角度：5°、10°、15°、20°。</w:t>
      </w:r>
    </w:p>
    <w:p w14:paraId="08E91720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▲8、照明光路短波光滤光片：支持，可过滤短波长光波。</w:t>
      </w:r>
    </w:p>
    <w:p w14:paraId="6F2C5644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▲9、荧光染色成像系统：≥2种照明光激发光，包含钴蓝光及荧光素钠激发光。</w:t>
      </w:r>
    </w:p>
    <w:p w14:paraId="35E7D13E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▲10、滤光片：蓝色滤光片、无赤光滤光片、琥珀色滤光片、灰度滤光片（13%传输） 、UV（常规使用）、红外（常规使用）等。</w:t>
      </w:r>
    </w:p>
    <w:p w14:paraId="1F35DBE7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▲11、显微镜光路红外光通过滤光片：支持。</w:t>
      </w:r>
    </w:p>
    <w:p w14:paraId="58CED321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▲12、光源类型：双光源（LED与卤素灯）。</w:t>
      </w:r>
    </w:p>
    <w:p w14:paraId="4A22CFC8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▲13、数码相机类型：一体式内置专业医用数码相机（非民用单反相机）。</w:t>
      </w:r>
    </w:p>
    <w:p w14:paraId="46C50B38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14、睑板腺照相：支持。</w:t>
      </w:r>
    </w:p>
    <w:p w14:paraId="43CC65E8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▲15、采集方式：静态图片、动态视频、智能连拍（可获取触发拍摄键前后的图像，减小眼动干扰）、红外照相等。</w:t>
      </w:r>
    </w:p>
    <w:p w14:paraId="576F2A90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16、静态图像文件类型：DCM（DICOM格式图像），BMP，JPEG。</w:t>
      </w:r>
    </w:p>
    <w:p w14:paraId="61D64AEF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17、背景照明类型：可见光（强弱可调节）、红外光。</w:t>
      </w:r>
    </w:p>
    <w:p w14:paraId="5E7B85FB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18、光源：与裂隙灯同色温。</w:t>
      </w:r>
    </w:p>
    <w:p w14:paraId="18806304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19、工作站显示器实时显示裂隙灯目镜图像。</w:t>
      </w:r>
    </w:p>
    <w:p w14:paraId="44F81225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20、基本配置要求：裂隙灯显微镜主机1台、电动升降台1台、数码相机（CCD）1套、电脑工作站1套、彩色打印机1台、背景照明1个、LED灯泡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1个、采集软件1套。</w:t>
      </w:r>
    </w:p>
    <w:p w14:paraId="2D581EFE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21、原厂质保≥5年。</w:t>
      </w:r>
    </w:p>
    <w:p w14:paraId="412F69CD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22、使用年限≥8年。</w:t>
      </w:r>
    </w:p>
    <w:p w14:paraId="1658D4B6">
      <w:pPr>
        <w:rPr>
          <w:rFonts w:hint="eastAsia" w:ascii="宋体" w:hAnsi="宋体" w:eastAsia="宋体" w:cs="宋体"/>
          <w:b/>
          <w:bCs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36"/>
          <w:szCs w:val="36"/>
          <w:lang w:val="en-US" w:eastAsia="zh-CN" w:bidi="ar-SA"/>
        </w:rPr>
        <w:br w:type="page"/>
      </w:r>
    </w:p>
    <w:p w14:paraId="34C1E9D7">
      <w:pPr>
        <w:numPr>
          <w:ilvl w:val="0"/>
          <w:numId w:val="0"/>
        </w:numPr>
        <w:ind w:firstLine="723" w:firstLineChars="200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36"/>
          <w:szCs w:val="36"/>
          <w:lang w:val="en-US" w:eastAsia="zh-CN" w:bidi="ar-SA"/>
        </w:rPr>
        <w:t>三、眼科超声诊断仪</w:t>
      </w:r>
    </w:p>
    <w:p w14:paraId="1A6A2271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A超</w:t>
      </w:r>
    </w:p>
    <w:p w14:paraId="7767CEFB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1、探头频率：≥10MHz，内置发光管。</w:t>
      </w:r>
    </w:p>
    <w:p w14:paraId="7265C434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▲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2、测量精度：±0.04mm 。</w:t>
      </w:r>
    </w:p>
    <w:p w14:paraId="78144C2C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3、测量参数：前房深度、晶体厚度、玻璃体长度、眼轴长度。</w:t>
      </w:r>
    </w:p>
    <w:p w14:paraId="2B63089C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4、测量模式：晶体眼、无晶体眼、致密白内障、各种人工晶体眼 。</w:t>
      </w:r>
    </w:p>
    <w:p w14:paraId="24F27D05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▲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5、IOL公式： SRK-II、SRK-T、HOFFER-Q、HOLLADAY、BINKHORST-II、HAIGIS。</w:t>
      </w:r>
    </w:p>
    <w:p w14:paraId="5A1D58B2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6、统计计算：平均值和标准差。</w:t>
      </w:r>
    </w:p>
    <w:p w14:paraId="3F86EBEF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7、存储：可存储至少10次A超扫描结果。</w:t>
      </w:r>
    </w:p>
    <w:p w14:paraId="08CD0A62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B超</w:t>
      </w:r>
    </w:p>
    <w:p w14:paraId="725F9879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8、探头频率：≥10 MHz静音探头。</w:t>
      </w:r>
    </w:p>
    <w:p w14:paraId="07DA7A08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9、扫描方式：扇形扫描。</w:t>
      </w:r>
    </w:p>
    <w:p w14:paraId="57C0B5FE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10、放大功能：多级连续放大，实时放大。</w:t>
      </w:r>
    </w:p>
    <w:p w14:paraId="439BDC6A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▲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11、分辨力：轴向≦0.2mm  侧向≦0.4mm。</w:t>
      </w:r>
    </w:p>
    <w:p w14:paraId="054ACB57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▲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12、B超几何位置精度：横向≦3%  纵向≦2%。</w:t>
      </w:r>
    </w:p>
    <w:p w14:paraId="1260A05B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▲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13、探测深度：≥60mm。</w:t>
      </w:r>
    </w:p>
    <w:p w14:paraId="2FB28917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14、玻璃体和视网膜增强功能。</w:t>
      </w:r>
    </w:p>
    <w:p w14:paraId="247FFC60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15、探头增益：30dB-105dB。</w:t>
      </w:r>
    </w:p>
    <w:p w14:paraId="7CE88AB6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▲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16、扫描角度：≥52度。</w:t>
      </w:r>
    </w:p>
    <w:p w14:paraId="5ADDF8BC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▲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17、图像灰级：≥255级。</w:t>
      </w:r>
    </w:p>
    <w:p w14:paraId="0CDBFBE2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18、伪彩模式：多种伪彩 。</w:t>
      </w:r>
    </w:p>
    <w:p w14:paraId="0DD3AADF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19、测量类型：多组距离、周长及面积。</w:t>
      </w:r>
    </w:p>
    <w:p w14:paraId="21C328C4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20、电影回放：≥100幅图像回放，AVI、JPG格式影像输出。</w:t>
      </w:r>
    </w:p>
    <w:p w14:paraId="3E293417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21、显示模式：B、B+B、B+A、A</w:t>
      </w:r>
    </w:p>
    <w:p w14:paraId="36130890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所见提示：预置专家字典输入或手工输入</w:t>
      </w:r>
    </w:p>
    <w:p w14:paraId="0FF8DC4E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检索功能：多关键字检索功能。</w:t>
      </w:r>
    </w:p>
    <w:p w14:paraId="39C68A1D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22、适合WINDOWS XP,VISTA,WINDOWS7等多种操作系统，自定义报告模板。</w:t>
      </w:r>
    </w:p>
    <w:p w14:paraId="6EE4D7E9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23、基本配置要求：A/B超主机1台、隔离电源1台、10MHzA超探头1支、10MHz B型探头1支、电源线4根、脚踏开关1个、标定柱1个、键盘1台、显示器1台、打印机1个、A/B超影像工作站软件已装入系统。</w:t>
      </w:r>
    </w:p>
    <w:p w14:paraId="65FFA3D7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24、原厂质保≥5年。</w:t>
      </w:r>
    </w:p>
    <w:p w14:paraId="0C4EB941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25、使用年限≥8年。</w:t>
      </w:r>
    </w:p>
    <w:p w14:paraId="3B5A34BF">
      <w:pPr>
        <w:rPr>
          <w:rFonts w:hint="eastAsia" w:ascii="宋体" w:hAnsi="宋体" w:eastAsia="宋体" w:cs="宋体"/>
          <w:b/>
          <w:bCs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36"/>
          <w:szCs w:val="36"/>
          <w:lang w:val="en-US" w:eastAsia="zh-CN" w:bidi="ar-SA"/>
        </w:rPr>
        <w:br w:type="page"/>
      </w:r>
    </w:p>
    <w:p w14:paraId="3B88677F">
      <w:pPr>
        <w:numPr>
          <w:ilvl w:val="0"/>
          <w:numId w:val="0"/>
        </w:numPr>
        <w:ind w:firstLine="723" w:firstLineChars="200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36"/>
          <w:szCs w:val="36"/>
          <w:lang w:val="en-US" w:eastAsia="zh-CN" w:bidi="ar-SA"/>
        </w:rPr>
        <w:t>四、同视机</w:t>
      </w:r>
    </w:p>
    <w:p w14:paraId="6F472B89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1、闪烁装置采用手动，自动两种设计，各种闪烁方式任意选择，频率精确。</w:t>
      </w:r>
    </w:p>
    <w:p w14:paraId="79972778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▲2、定量测量立体视觉锐度（40“~1000“）的随机点画片（选购）。</w:t>
      </w:r>
    </w:p>
    <w:p w14:paraId="367F2E85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3、倍率≥1.65，视场≥56mm。</w:t>
      </w:r>
    </w:p>
    <w:p w14:paraId="298B67B6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4、红光（λ=640mm）闪烁系统。</w:t>
      </w:r>
    </w:p>
    <w:p w14:paraId="3B84C36F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5、左右镜筒可饶竖轴转动：集合50°，发散40°。</w:t>
      </w:r>
    </w:p>
    <w:p w14:paraId="4CACDF89">
      <w:pPr>
        <w:numPr>
          <w:ilvl w:val="0"/>
          <w:numId w:val="0"/>
        </w:numPr>
        <w:ind w:firstLine="280" w:firstLineChars="100"/>
        <w:jc w:val="both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左右镜筒可饶横轴转动：±30°。</w:t>
      </w:r>
    </w:p>
    <w:p w14:paraId="229AD158">
      <w:pPr>
        <w:numPr>
          <w:ilvl w:val="0"/>
          <w:numId w:val="0"/>
        </w:numPr>
        <w:ind w:firstLine="280" w:firstLineChars="100"/>
        <w:jc w:val="both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左右镜筒中画片对光轴上下移动：±30△。</w:t>
      </w:r>
    </w:p>
    <w:p w14:paraId="3C1D0CB6">
      <w:pPr>
        <w:numPr>
          <w:ilvl w:val="0"/>
          <w:numId w:val="0"/>
        </w:numPr>
        <w:ind w:firstLine="280" w:firstLineChars="100"/>
        <w:jc w:val="both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左右镜筒中画片可饶光轴转动：±20°。</w:t>
      </w:r>
    </w:p>
    <w:p w14:paraId="70AEA33D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6、瞳距调节范围45~75mm。</w:t>
      </w:r>
    </w:p>
    <w:p w14:paraId="4A551376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7、暗室照明灯：对称式设计，LED面发光器。</w:t>
      </w:r>
    </w:p>
    <w:p w14:paraId="5C9B3BD8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8、仪器照明装置，速度可调节：50~100转/分。</w:t>
      </w:r>
    </w:p>
    <w:p w14:paraId="7C052736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9、闪烁装置：手动和自动两种。</w:t>
      </w:r>
    </w:p>
    <w:p w14:paraId="660FA84C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▲10、自动闪烁频率调节范围30~300次/分，10档。</w:t>
      </w:r>
    </w:p>
    <w:p w14:paraId="34CD5596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▲11、自动闪烁明暗交替方式：一周期中，</w:t>
      </w:r>
    </w:p>
    <w:p w14:paraId="10BBF33F">
      <w:pPr>
        <w:numPr>
          <w:ilvl w:val="0"/>
          <w:numId w:val="0"/>
        </w:numPr>
        <w:ind w:firstLine="280" w:firstLineChars="10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1/4点   3/4灭；</w:t>
      </w:r>
    </w:p>
    <w:p w14:paraId="2568BCDE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 1/2点    1/2灭 ；</w:t>
      </w:r>
    </w:p>
    <w:p w14:paraId="0D54C726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 3/4点   1/4灭。</w:t>
      </w:r>
    </w:p>
    <w:p w14:paraId="051242F9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▲12、自动闪烁装置种类：左右同时点灭；</w:t>
      </w:r>
    </w:p>
    <w:p w14:paraId="54A0B689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左右交替点灭；</w:t>
      </w:r>
    </w:p>
    <w:p w14:paraId="36274255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左右一方常点，另一方常灭；</w:t>
      </w:r>
    </w:p>
    <w:p w14:paraId="0BD845B8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左右一方点灭，另一方常点或常灭。</w:t>
      </w:r>
    </w:p>
    <w:p w14:paraId="7C145080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13、基本配置要求：主机（镜筒系统、照明系统、控制系统）1台、控制盒1个、</w:t>
      </w:r>
    </w:p>
    <w:p w14:paraId="527E31BF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腮托架1个、导轨护套2个、画片系统（基础画片组、同时知觉画片、融合画片、立体视画片、特殊功能画片）1套、海丁格刷装置、滤光片套装1套、防尘罩1张、升降台1套。</w:t>
      </w:r>
    </w:p>
    <w:p w14:paraId="147C2D80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14、原厂质保≥5年。</w:t>
      </w:r>
    </w:p>
    <w:p w14:paraId="6A356286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15、使用年限≥8年。</w:t>
      </w:r>
    </w:p>
    <w:p w14:paraId="73546498">
      <w:pPr>
        <w:rPr>
          <w:rFonts w:hint="eastAsia" w:ascii="宋体" w:hAnsi="宋体" w:eastAsia="宋体" w:cs="宋体"/>
          <w:b/>
          <w:bCs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36"/>
          <w:szCs w:val="36"/>
          <w:lang w:val="en-US" w:eastAsia="zh-CN" w:bidi="ar-SA"/>
        </w:rPr>
        <w:br w:type="page"/>
      </w:r>
    </w:p>
    <w:p w14:paraId="4E45CEA6">
      <w:pPr>
        <w:numPr>
          <w:ilvl w:val="0"/>
          <w:numId w:val="0"/>
        </w:numPr>
        <w:ind w:firstLine="723" w:firstLineChars="200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36"/>
          <w:szCs w:val="36"/>
          <w:lang w:val="en-US" w:eastAsia="zh-CN" w:bidi="ar-SA"/>
        </w:rPr>
        <w:t>五、视野计分析仪</w:t>
      </w:r>
    </w:p>
    <w:p w14:paraId="605C85E9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1、临床应用：视野功能的检测与随访</w:t>
      </w:r>
    </w:p>
    <w:p w14:paraId="0C9AC01E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2、检测程序：有阈值检查和筛选检查程序</w:t>
      </w:r>
    </w:p>
    <w:p w14:paraId="6F5D751E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▲3、快速程序：SITA程序在不影响准确性的前提下可明显缩短检测时间</w:t>
      </w:r>
    </w:p>
    <w:p w14:paraId="1CEF4D48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4、分析程序：以31.5asb背景光亮度下的正常数据库为基础</w:t>
      </w:r>
    </w:p>
    <w:p w14:paraId="2B18F33B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▲5、正常值数据库：多中心、多人种、年龄匹配</w:t>
      </w:r>
    </w:p>
    <w:p w14:paraId="0094589F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6、背景光亮度：≥31.5asb</w:t>
      </w:r>
    </w:p>
    <w:p w14:paraId="68BD8787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▲7、光强度：≥9900 ASB</w:t>
      </w:r>
    </w:p>
    <w:p w14:paraId="4F9FF9F2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8、光刺激时间：不低于200ms</w:t>
      </w:r>
    </w:p>
    <w:p w14:paraId="3B41AE79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9、测试范围：≥90度</w:t>
      </w:r>
    </w:p>
    <w:p w14:paraId="2B1B9E21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10、可测量中心凹阈值：有</w:t>
      </w:r>
    </w:p>
    <w:p w14:paraId="1A0A1663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11、阈值测试程序：≥6种</w:t>
      </w:r>
    </w:p>
    <w:p w14:paraId="516BC759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12、筛选测试程序：≥12种</w:t>
      </w:r>
    </w:p>
    <w:p w14:paraId="785BE309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13、特殊测试程序：≥4种</w:t>
      </w:r>
    </w:p>
    <w:p w14:paraId="6D13C574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14、自定义程序：有</w:t>
      </w:r>
    </w:p>
    <w:p w14:paraId="44476329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15、检测时间：30度阈值测试时间&lt;6分钟</w:t>
      </w:r>
    </w:p>
    <w:p w14:paraId="6501ABBA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16、电脑：内置，一体化</w:t>
      </w:r>
    </w:p>
    <w:p w14:paraId="686B7F1D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17、固视目标：中心点，小钻石形，大钻石形可选</w:t>
      </w:r>
    </w:p>
    <w:p w14:paraId="1AF985D3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18、固视监测：盲点法和CCD视频监测</w:t>
      </w:r>
    </w:p>
    <w:p w14:paraId="523D0E6A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▲19、具备GPA青光眼随访软件：随访至少8次</w:t>
      </w:r>
    </w:p>
    <w:p w14:paraId="4D0A6BF2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20、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基本配置要求：主机 1台、患者应答按钮、鼠标键盘 1套。</w:t>
      </w:r>
    </w:p>
    <w:p w14:paraId="42F039D8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21、原厂质保≥5年。</w:t>
      </w:r>
    </w:p>
    <w:p w14:paraId="75A2AFEC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22、使用年限≥8年。</w:t>
      </w:r>
    </w:p>
    <w:p w14:paraId="15B70FFE">
      <w:pPr>
        <w:wordWrap w:val="0"/>
        <w:ind w:left="0" w:leftChars="0" w:firstLine="0" w:firstLineChars="0"/>
        <w:jc w:val="both"/>
        <w:rPr>
          <w:rFonts w:hint="eastAsia" w:ascii="宋体" w:hAnsi="宋体" w:eastAsia="宋体" w:cs="宋体"/>
          <w:sz w:val="32"/>
          <w:szCs w:val="32"/>
          <w:lang w:eastAsia="zh-CN"/>
        </w:rPr>
      </w:pPr>
    </w:p>
    <w:sectPr>
      <w:pgSz w:w="11906" w:h="16838"/>
      <w:pgMar w:top="960" w:right="626" w:bottom="1238" w:left="720" w:header="851" w:footer="992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4F212E"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BB679"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0F7FF3"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80"/>
      </w:pPr>
      <w:r>
        <w:separator/>
      </w:r>
    </w:p>
  </w:footnote>
  <w:footnote w:type="continuationSeparator" w:id="1">
    <w:p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E0A6A8">
    <w:pPr>
      <w:pStyle w:val="5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1205EE"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013392"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NkMjJmN2NhNzRmMThiMmNhNmFkNjcxODA3ZTZmYmEifQ=="/>
  </w:docVars>
  <w:rsids>
    <w:rsidRoot w:val="00172A27"/>
    <w:rsid w:val="00024F53"/>
    <w:rsid w:val="000E1C60"/>
    <w:rsid w:val="00216E8D"/>
    <w:rsid w:val="00282C56"/>
    <w:rsid w:val="002B0B4B"/>
    <w:rsid w:val="00407152"/>
    <w:rsid w:val="004925FF"/>
    <w:rsid w:val="005C1467"/>
    <w:rsid w:val="006D48E9"/>
    <w:rsid w:val="00894F52"/>
    <w:rsid w:val="00917CE9"/>
    <w:rsid w:val="00954129"/>
    <w:rsid w:val="009C5395"/>
    <w:rsid w:val="00B834F5"/>
    <w:rsid w:val="00BE7A6E"/>
    <w:rsid w:val="00C21D00"/>
    <w:rsid w:val="00C36926"/>
    <w:rsid w:val="00C61994"/>
    <w:rsid w:val="00CB4EB0"/>
    <w:rsid w:val="00E27C03"/>
    <w:rsid w:val="00E46200"/>
    <w:rsid w:val="010F3B4F"/>
    <w:rsid w:val="03A62553"/>
    <w:rsid w:val="03A912FE"/>
    <w:rsid w:val="03F40E5C"/>
    <w:rsid w:val="050F1DA7"/>
    <w:rsid w:val="05AE0A14"/>
    <w:rsid w:val="05D76C05"/>
    <w:rsid w:val="072C0E80"/>
    <w:rsid w:val="07616206"/>
    <w:rsid w:val="0981453B"/>
    <w:rsid w:val="09C37BCC"/>
    <w:rsid w:val="0AAD3F5C"/>
    <w:rsid w:val="0D4363CD"/>
    <w:rsid w:val="15657D89"/>
    <w:rsid w:val="1711641B"/>
    <w:rsid w:val="196506DD"/>
    <w:rsid w:val="1D5C7CC4"/>
    <w:rsid w:val="1E693AE3"/>
    <w:rsid w:val="1F0B19A2"/>
    <w:rsid w:val="20CE273E"/>
    <w:rsid w:val="20FB1F01"/>
    <w:rsid w:val="230B0DCA"/>
    <w:rsid w:val="23CB16FF"/>
    <w:rsid w:val="253357AE"/>
    <w:rsid w:val="270765C7"/>
    <w:rsid w:val="287B73CD"/>
    <w:rsid w:val="28BD0D4F"/>
    <w:rsid w:val="29B33362"/>
    <w:rsid w:val="2B4D48AE"/>
    <w:rsid w:val="2B6016DA"/>
    <w:rsid w:val="2B6F39FB"/>
    <w:rsid w:val="2BD870AF"/>
    <w:rsid w:val="2DCF003E"/>
    <w:rsid w:val="322841C1"/>
    <w:rsid w:val="32935ADE"/>
    <w:rsid w:val="32DD31FD"/>
    <w:rsid w:val="33EB5C8A"/>
    <w:rsid w:val="343011E9"/>
    <w:rsid w:val="361374D2"/>
    <w:rsid w:val="362B33B4"/>
    <w:rsid w:val="36D76309"/>
    <w:rsid w:val="3AED5FA8"/>
    <w:rsid w:val="3B712389"/>
    <w:rsid w:val="3D837D1F"/>
    <w:rsid w:val="3DFD4754"/>
    <w:rsid w:val="3E5C591E"/>
    <w:rsid w:val="3EC5725E"/>
    <w:rsid w:val="40C83737"/>
    <w:rsid w:val="418E2292"/>
    <w:rsid w:val="42DE4B54"/>
    <w:rsid w:val="436D4CE6"/>
    <w:rsid w:val="469F2399"/>
    <w:rsid w:val="46A67D87"/>
    <w:rsid w:val="46DF533E"/>
    <w:rsid w:val="48890D31"/>
    <w:rsid w:val="4A04505A"/>
    <w:rsid w:val="4B460986"/>
    <w:rsid w:val="4B543BC0"/>
    <w:rsid w:val="4C52759F"/>
    <w:rsid w:val="4DC26A3D"/>
    <w:rsid w:val="4E7D0F0D"/>
    <w:rsid w:val="4EA21C86"/>
    <w:rsid w:val="4ECA7ADB"/>
    <w:rsid w:val="51825244"/>
    <w:rsid w:val="51BB3FBD"/>
    <w:rsid w:val="53334449"/>
    <w:rsid w:val="54496945"/>
    <w:rsid w:val="548117E3"/>
    <w:rsid w:val="54ED0C26"/>
    <w:rsid w:val="563B3C13"/>
    <w:rsid w:val="572648C3"/>
    <w:rsid w:val="58D07DF4"/>
    <w:rsid w:val="59CA3CE8"/>
    <w:rsid w:val="5E9129FF"/>
    <w:rsid w:val="62EC10D9"/>
    <w:rsid w:val="64976833"/>
    <w:rsid w:val="65AC1A1D"/>
    <w:rsid w:val="666920D7"/>
    <w:rsid w:val="67F555FB"/>
    <w:rsid w:val="683A1E0D"/>
    <w:rsid w:val="6B544E60"/>
    <w:rsid w:val="6C40598F"/>
    <w:rsid w:val="6C8E61E8"/>
    <w:rsid w:val="6EE2352A"/>
    <w:rsid w:val="6F4B2B3B"/>
    <w:rsid w:val="707F76D5"/>
    <w:rsid w:val="709A3F00"/>
    <w:rsid w:val="74BE3D22"/>
    <w:rsid w:val="74C87BF4"/>
    <w:rsid w:val="74F00593"/>
    <w:rsid w:val="76464EC9"/>
    <w:rsid w:val="76984A3E"/>
    <w:rsid w:val="78393FFF"/>
    <w:rsid w:val="7AF27758"/>
    <w:rsid w:val="7C75137E"/>
    <w:rsid w:val="7C855CD8"/>
    <w:rsid w:val="7C8C507A"/>
    <w:rsid w:val="7C94028B"/>
    <w:rsid w:val="7D731D61"/>
    <w:rsid w:val="7DBE6FE4"/>
    <w:rsid w:val="7E9D6F0E"/>
    <w:rsid w:val="7F51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ind w:firstLine="200" w:firstLineChars="200"/>
      <w:jc w:val="both"/>
    </w:pPr>
    <w:rPr>
      <w:rFonts w:ascii="宋体" w:hAnsi="宋体" w:eastAsia="宋体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2"/>
    <w:autoRedefine/>
    <w:semiHidden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customStyle="1" w:styleId="10">
    <w:name w:val="页眉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2">
    <w:name w:val="标题 2 Char"/>
    <w:link w:val="3"/>
    <w:autoRedefine/>
    <w:qFormat/>
    <w:uiPriority w:val="0"/>
    <w:rPr>
      <w:rFonts w:ascii="Arial" w:hAnsi="Arial" w:eastAsia="黑体"/>
      <w:b/>
      <w:sz w:val="32"/>
    </w:rPr>
  </w:style>
  <w:style w:type="character" w:customStyle="1" w:styleId="13">
    <w:name w:val="font51"/>
    <w:basedOn w:val="8"/>
    <w:autoRedefine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41"/>
    <w:basedOn w:val="8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31"/>
    <w:basedOn w:val="8"/>
    <w:autoRedefine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6">
    <w:name w:val="font2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2798</Words>
  <Characters>3342</Characters>
  <Lines>4</Lines>
  <Paragraphs>1</Paragraphs>
  <TotalTime>2</TotalTime>
  <ScaleCrop>false</ScaleCrop>
  <LinksUpToDate>false</LinksUpToDate>
  <CharactersWithSpaces>3544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2023-03-31T12:11:00Z</dcterms:created>
  <dc:creator>张延彬</dc:creator>
  <cp:lastModifiedBy>天行健</cp:lastModifiedBy>
  <dcterms:modified xsi:type="dcterms:W3CDTF">2026-04-22T08:15:38Z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DA4EA5CB93644AFC81D1D12025F58EC8_13</vt:lpwstr>
  </property>
  <property fmtid="{D5CDD505-2E9C-101B-9397-08002B2CF9AE}" pid="4" name="KSOTemplateDocerSaveRecord">
    <vt:lpwstr>eyJoZGlkIjoiN2RiOGI3YTgyMjIzYTZjZGY4ZGUxZmE3MmU0NGVkZDciLCJ1c2VySWQiOiIxNTI0OTMwNDgifQ==</vt:lpwstr>
  </property>
</Properties>
</file>