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9968">
      <w:pPr>
        <w:ind w:firstLine="1405" w:firstLineChars="500"/>
        <w:rPr>
          <w:rFonts w:hint="eastAsia" w:asciiTheme="minorEastAsia" w:hAnsiTheme="minorEastAsia" w:cstheme="minorEastAsia"/>
          <w:b/>
          <w:color w:val="000000" w:themeColor="text1"/>
          <w:kern w:val="0"/>
          <w:sz w:val="28"/>
          <w:szCs w:val="28"/>
          <w:lang w:val="en-US" w:eastAsia="zh-CN"/>
          <w14:textFill>
            <w14:solidFill>
              <w14:schemeClr w14:val="tx1"/>
            </w14:solidFill>
          </w14:textFill>
        </w:rPr>
      </w:pPr>
      <w:r>
        <w:rPr>
          <w:rFonts w:hint="eastAsia" w:asciiTheme="minorEastAsia" w:hAnsiTheme="minorEastAsia" w:cstheme="minorEastAsia"/>
          <w:b/>
          <w:color w:val="000000" w:themeColor="text1"/>
          <w:kern w:val="0"/>
          <w:sz w:val="28"/>
          <w:szCs w:val="28"/>
          <w:lang w:val="en-US" w:eastAsia="zh-CN"/>
          <w14:textFill>
            <w14:solidFill>
              <w14:schemeClr w14:val="tx1"/>
            </w14:solidFill>
          </w14:textFill>
        </w:rPr>
        <w:t>病理性</w:t>
      </w:r>
      <w:r>
        <w:rPr>
          <w:rFonts w:hint="eastAsia" w:asciiTheme="minorEastAsia" w:hAnsiTheme="minorEastAsia" w:cstheme="minorEastAsia"/>
          <w:b/>
          <w:color w:val="000000" w:themeColor="text1"/>
          <w:kern w:val="0"/>
          <w:sz w:val="28"/>
          <w:szCs w:val="28"/>
          <w:lang w:eastAsia="zh-CN"/>
          <w14:textFill>
            <w14:solidFill>
              <w14:schemeClr w14:val="tx1"/>
            </w14:solidFill>
          </w14:textFill>
        </w:rPr>
        <w:t>废物集</w:t>
      </w:r>
      <w:r>
        <w:rPr>
          <w:rFonts w:hint="eastAsia" w:asciiTheme="minorEastAsia" w:hAnsiTheme="minorEastAsia" w:cstheme="minorEastAsia"/>
          <w:b/>
          <w:color w:val="000000" w:themeColor="text1"/>
          <w:kern w:val="0"/>
          <w:sz w:val="28"/>
          <w:szCs w:val="28"/>
          <w:u w:val="none"/>
          <w:lang w:eastAsia="zh-CN"/>
          <w14:textFill>
            <w14:solidFill>
              <w14:schemeClr w14:val="tx1"/>
            </w14:solidFill>
          </w14:textFill>
        </w:rPr>
        <w:t>中</w:t>
      </w:r>
      <w:r>
        <w:rPr>
          <w:rFonts w:hint="eastAsia" w:asciiTheme="minorEastAsia" w:hAnsiTheme="minorEastAsia" w:cstheme="minorEastAsia"/>
          <w:b/>
          <w:color w:val="000000" w:themeColor="text1"/>
          <w:kern w:val="0"/>
          <w:sz w:val="28"/>
          <w:szCs w:val="28"/>
          <w:u w:val="none"/>
          <w:lang w:val="en-US" w:eastAsia="zh-CN"/>
          <w14:textFill>
            <w14:solidFill>
              <w14:schemeClr w14:val="tx1"/>
            </w14:solidFill>
          </w14:textFill>
        </w:rPr>
        <w:t>托运焚化</w:t>
      </w:r>
      <w:r>
        <w:rPr>
          <w:rFonts w:hint="eastAsia" w:asciiTheme="minorEastAsia" w:hAnsiTheme="minorEastAsia" w:cstheme="minorEastAsia"/>
          <w:b/>
          <w:color w:val="000000" w:themeColor="text1"/>
          <w:kern w:val="0"/>
          <w:sz w:val="28"/>
          <w:szCs w:val="28"/>
          <w:lang w:eastAsia="zh-CN"/>
          <w14:textFill>
            <w14:solidFill>
              <w14:schemeClr w14:val="tx1"/>
            </w14:solidFill>
          </w14:textFill>
        </w:rPr>
        <w:t>处置服务</w:t>
      </w:r>
      <w:r>
        <w:rPr>
          <w:rFonts w:hint="eastAsia" w:asciiTheme="minorEastAsia" w:hAnsiTheme="minorEastAsia" w:cstheme="minorEastAsia"/>
          <w:b/>
          <w:color w:val="000000" w:themeColor="text1"/>
          <w:kern w:val="0"/>
          <w:sz w:val="28"/>
          <w:szCs w:val="28"/>
          <w:lang w:val="en-US" w:eastAsia="zh-CN"/>
          <w14:textFill>
            <w14:solidFill>
              <w14:schemeClr w14:val="tx1"/>
            </w14:solidFill>
          </w14:textFill>
        </w:rPr>
        <w:t>采购需求</w:t>
      </w:r>
    </w:p>
    <w:p w14:paraId="5D735E3F">
      <w:pPr>
        <w:numPr>
          <w:ilvl w:val="0"/>
          <w:numId w:val="0"/>
        </w:num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p>
    <w:p w14:paraId="726BC8BA">
      <w:pPr>
        <w:numPr>
          <w:ilvl w:val="0"/>
          <w:numId w:val="0"/>
        </w:num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1.乙方需保证按《医疗废物管理条例》或其他法律，法规规定，完善病理性医疗废物集中托运焚化的全过程。</w:t>
      </w:r>
    </w:p>
    <w:p w14:paraId="11ECD939">
      <w:p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2.乙方在接到甲方病理性医疗废物后应积极配合甲方及甲方委派单位或个人做好交接签字手续，并在24小时内处理病理性废物接运工作。乙方人员应做好自身防护，穿戴必要的防护用品(如口罩，帽子，手套，胶鞋等)</w:t>
      </w:r>
    </w:p>
    <w:p w14:paraId="1AD88B0D">
      <w:p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3.病理性废物移交时甲乙双方应履行移交手续，双方对数量，种类进行确认并签字；</w:t>
      </w:r>
    </w:p>
    <w:p w14:paraId="3FE20776">
      <w:p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4.乙方接收病理性废物后，应按规范要求及时进行火化，不得将病理性废物泄漏，否则由此产生的不良后果应由乙方承担；</w:t>
      </w:r>
    </w:p>
    <w:p w14:paraId="16C74C01">
      <w:pP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5.乙方</w:t>
      </w:r>
      <w:bookmarkStart w:id="0" w:name="_GoBack"/>
      <w:bookmarkEnd w:id="0"/>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结算时须提供处置批次对应的火化证明及相关交接资料。</w:t>
      </w:r>
    </w:p>
    <w:p w14:paraId="13705B01">
      <w:pPr>
        <w:rPr>
          <w:rFonts w:hint="default"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6.结款方式：按实际工作量据实结算，根据乙方提供的发票，通过医院财务支付流程每月一结。</w:t>
      </w:r>
    </w:p>
    <w:p w14:paraId="7D252FBB">
      <w:pPr>
        <w:ind w:firstLine="3120" w:firstLineChars="1300"/>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报价单</w:t>
      </w:r>
    </w:p>
    <w:p w14:paraId="2CC5878E">
      <w:pPr>
        <w:ind w:firstLine="3120" w:firstLineChars="1300"/>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pPr>
    </w:p>
    <w:tbl>
      <w:tblPr>
        <w:tblStyle w:val="2"/>
        <w:tblW w:w="845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1349"/>
        <w:gridCol w:w="3229"/>
        <w:gridCol w:w="3230"/>
      </w:tblGrid>
      <w:tr w14:paraId="09AE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649" w:type="dxa"/>
            <w:shd w:val="clear" w:color="auto" w:fill="auto"/>
            <w:noWrap w:val="0"/>
            <w:vAlign w:val="center"/>
          </w:tcPr>
          <w:p w14:paraId="65A79010">
            <w:pPr>
              <w:widowControl/>
              <w:snapToGrid w:val="0"/>
              <w:spacing w:beforeAutospacing="0" w:line="240" w:lineRule="auto"/>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序号</w:t>
            </w:r>
          </w:p>
        </w:tc>
        <w:tc>
          <w:tcPr>
            <w:tcW w:w="1349" w:type="dxa"/>
            <w:shd w:val="clear" w:color="auto" w:fill="auto"/>
            <w:noWrap w:val="0"/>
            <w:vAlign w:val="center"/>
          </w:tcPr>
          <w:p w14:paraId="38C99F09">
            <w:pPr>
              <w:widowControl/>
              <w:snapToGrid w:val="0"/>
              <w:spacing w:line="240" w:lineRule="auto"/>
              <w:jc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名称</w:t>
            </w:r>
          </w:p>
        </w:tc>
        <w:tc>
          <w:tcPr>
            <w:tcW w:w="3229" w:type="dxa"/>
            <w:shd w:val="clear" w:color="auto" w:fill="auto"/>
            <w:noWrap w:val="0"/>
            <w:vAlign w:val="center"/>
          </w:tcPr>
          <w:p w14:paraId="37BCCC27">
            <w:pPr>
              <w:widowControl/>
              <w:snapToGrid w:val="0"/>
              <w:spacing w:line="240" w:lineRule="auto"/>
              <w:ind w:firstLine="960" w:firstLineChars="400"/>
              <w:jc w:val="both"/>
              <w:rPr>
                <w:rFonts w:hint="eastAsia" w:ascii="黑体" w:hAnsi="黑体" w:eastAsia="黑体" w:cs="黑体"/>
                <w:b w:val="0"/>
                <w:bCs/>
                <w:color w:val="000000"/>
                <w:kern w:val="0"/>
                <w:sz w:val="24"/>
                <w:szCs w:val="24"/>
                <w:lang w:val="en-US" w:eastAsia="zh-CN"/>
              </w:rPr>
            </w:pPr>
            <w:r>
              <w:rPr>
                <w:rFonts w:hint="eastAsia" w:ascii="黑体" w:hAnsi="黑体" w:eastAsia="黑体" w:cs="黑体"/>
                <w:b w:val="0"/>
                <w:bCs/>
                <w:color w:val="000000"/>
                <w:kern w:val="0"/>
                <w:sz w:val="24"/>
                <w:szCs w:val="24"/>
                <w:lang w:val="en-US" w:eastAsia="zh-CN"/>
              </w:rPr>
              <w:t>报价</w:t>
            </w:r>
          </w:p>
        </w:tc>
        <w:tc>
          <w:tcPr>
            <w:tcW w:w="3230" w:type="dxa"/>
            <w:shd w:val="clear" w:color="auto" w:fill="auto"/>
            <w:noWrap w:val="0"/>
            <w:vAlign w:val="center"/>
          </w:tcPr>
          <w:p w14:paraId="1CBA8728">
            <w:pPr>
              <w:widowControl/>
              <w:snapToGrid w:val="0"/>
              <w:spacing w:line="240" w:lineRule="auto"/>
              <w:ind w:firstLine="960" w:firstLineChars="400"/>
              <w:jc w:val="both"/>
              <w:rPr>
                <w:rFonts w:hint="default" w:ascii="黑体" w:hAnsi="黑体" w:eastAsia="黑体" w:cs="黑体"/>
                <w:b w:val="0"/>
                <w:bCs/>
                <w:color w:val="000000"/>
                <w:kern w:val="0"/>
                <w:sz w:val="24"/>
                <w:szCs w:val="24"/>
                <w:lang w:val="en-US" w:eastAsia="zh-CN"/>
              </w:rPr>
            </w:pPr>
            <w:r>
              <w:rPr>
                <w:rFonts w:hint="eastAsia" w:ascii="黑体" w:hAnsi="黑体" w:eastAsia="黑体" w:cs="黑体"/>
                <w:b w:val="0"/>
                <w:bCs/>
                <w:color w:val="000000"/>
                <w:kern w:val="0"/>
                <w:sz w:val="24"/>
                <w:szCs w:val="24"/>
                <w:lang w:val="en-US" w:eastAsia="zh-CN"/>
              </w:rPr>
              <w:t>备注</w:t>
            </w:r>
          </w:p>
        </w:tc>
      </w:tr>
      <w:tr w14:paraId="645B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8" w:hRule="atLeast"/>
        </w:trPr>
        <w:tc>
          <w:tcPr>
            <w:tcW w:w="649" w:type="dxa"/>
            <w:shd w:val="clear" w:color="auto" w:fill="auto"/>
            <w:noWrap w:val="0"/>
            <w:vAlign w:val="center"/>
          </w:tcPr>
          <w:p w14:paraId="26AF7BB2">
            <w:pPr>
              <w:widowControl/>
              <w:spacing w:line="240" w:lineRule="auto"/>
              <w:jc w:val="center"/>
              <w:rPr>
                <w:rFonts w:hint="eastAsia" w:ascii="宋体" w:hAnsi="宋体" w:cs="Arial"/>
                <w:b w:val="0"/>
                <w:bCs/>
                <w:kern w:val="0"/>
                <w:sz w:val="24"/>
                <w:szCs w:val="24"/>
              </w:rPr>
            </w:pPr>
            <w:r>
              <w:rPr>
                <w:rFonts w:hint="eastAsia" w:ascii="宋体" w:hAnsi="宋体" w:cs="Arial"/>
                <w:b w:val="0"/>
                <w:bCs/>
                <w:kern w:val="0"/>
                <w:sz w:val="24"/>
                <w:szCs w:val="24"/>
              </w:rPr>
              <w:t>1</w:t>
            </w:r>
          </w:p>
        </w:tc>
        <w:tc>
          <w:tcPr>
            <w:tcW w:w="1349" w:type="dxa"/>
            <w:shd w:val="clear" w:color="auto" w:fill="auto"/>
            <w:noWrap w:val="0"/>
            <w:vAlign w:val="center"/>
          </w:tcPr>
          <w:p w14:paraId="0A5E5CD7">
            <w:pPr>
              <w:widowControl/>
              <w:spacing w:line="240" w:lineRule="auto"/>
              <w:jc w:val="left"/>
              <w:rPr>
                <w:rFonts w:hint="default" w:ascii="宋体" w:hAnsi="宋体" w:eastAsia="宋体" w:cs="Arial"/>
                <w:b w:val="0"/>
                <w:bCs/>
                <w:kern w:val="0"/>
                <w:sz w:val="24"/>
                <w:szCs w:val="24"/>
                <w:lang w:val="en-US" w:eastAsia="zh-CN"/>
              </w:rPr>
            </w:pPr>
            <w:r>
              <w:rPr>
                <w:rFonts w:hint="eastAsia" w:ascii="宋体" w:hAnsi="宋体" w:eastAsia="宋体" w:cs="Arial"/>
                <w:b w:val="0"/>
                <w:bCs/>
                <w:kern w:val="0"/>
                <w:sz w:val="24"/>
                <w:szCs w:val="24"/>
                <w:lang w:val="en-US" w:eastAsia="zh-CN"/>
              </w:rPr>
              <w:t>托运运费</w:t>
            </w:r>
          </w:p>
        </w:tc>
        <w:tc>
          <w:tcPr>
            <w:tcW w:w="3229" w:type="dxa"/>
            <w:shd w:val="clear" w:color="auto" w:fill="auto"/>
            <w:noWrap w:val="0"/>
            <w:vAlign w:val="center"/>
          </w:tcPr>
          <w:p w14:paraId="18C8C08B">
            <w:pPr>
              <w:widowControl/>
              <w:spacing w:line="240" w:lineRule="auto"/>
              <w:jc w:val="both"/>
              <w:rPr>
                <w:rFonts w:hint="default" w:ascii="宋体" w:hAnsi="宋体" w:eastAsia="宋体" w:cs="Arial"/>
                <w:b w:val="0"/>
                <w:bCs/>
                <w:color w:val="000000"/>
                <w:kern w:val="0"/>
                <w:sz w:val="24"/>
                <w:szCs w:val="24"/>
                <w:lang w:val="en-US" w:eastAsia="zh-CN"/>
              </w:rPr>
            </w:pPr>
            <w:r>
              <w:rPr>
                <w:rFonts w:hint="eastAsia" w:ascii="宋体" w:hAnsi="宋体" w:eastAsia="宋体" w:cs="Arial"/>
                <w:b w:val="0"/>
                <w:bCs/>
                <w:color w:val="000000"/>
                <w:kern w:val="0"/>
                <w:sz w:val="24"/>
                <w:szCs w:val="24"/>
                <w:lang w:val="en-US" w:eastAsia="zh-CN"/>
              </w:rPr>
              <w:t>XX元/车次</w:t>
            </w:r>
          </w:p>
        </w:tc>
        <w:tc>
          <w:tcPr>
            <w:tcW w:w="3230" w:type="dxa"/>
            <w:shd w:val="clear" w:color="auto" w:fill="auto"/>
            <w:noWrap w:val="0"/>
            <w:vAlign w:val="center"/>
          </w:tcPr>
          <w:p w14:paraId="4F2A175B">
            <w:pPr>
              <w:widowControl/>
              <w:spacing w:line="240" w:lineRule="auto"/>
              <w:jc w:val="both"/>
              <w:rPr>
                <w:rFonts w:hint="default" w:ascii="宋体" w:hAnsi="宋体" w:eastAsia="宋体" w:cs="Arial"/>
                <w:b w:val="0"/>
                <w:bCs/>
                <w:color w:val="000000"/>
                <w:kern w:val="0"/>
                <w:sz w:val="24"/>
                <w:szCs w:val="24"/>
                <w:lang w:val="en-US" w:eastAsia="zh-CN"/>
              </w:rPr>
            </w:pPr>
            <w:r>
              <w:rPr>
                <w:rFonts w:hint="eastAsia" w:ascii="宋体" w:hAnsi="宋体" w:eastAsia="宋体" w:cs="Arial"/>
                <w:b w:val="0"/>
                <w:bCs/>
                <w:color w:val="000000"/>
                <w:kern w:val="0"/>
                <w:sz w:val="24"/>
                <w:szCs w:val="24"/>
                <w:lang w:val="en-US" w:eastAsia="zh-CN"/>
              </w:rPr>
              <w:t>每车次装运不限数量，按甲方要求执行，均按单次计费。</w:t>
            </w:r>
          </w:p>
        </w:tc>
      </w:tr>
      <w:tr w14:paraId="3D6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1" w:hRule="atLeast"/>
        </w:trPr>
        <w:tc>
          <w:tcPr>
            <w:tcW w:w="649" w:type="dxa"/>
            <w:shd w:val="clear" w:color="auto" w:fill="auto"/>
            <w:noWrap w:val="0"/>
            <w:vAlign w:val="center"/>
          </w:tcPr>
          <w:p w14:paraId="2100085E">
            <w:pPr>
              <w:widowControl/>
              <w:spacing w:line="240" w:lineRule="auto"/>
              <w:jc w:val="center"/>
              <w:rPr>
                <w:rFonts w:hint="eastAsia" w:ascii="宋体" w:hAnsi="宋体" w:eastAsia="宋体" w:cs="Arial"/>
                <w:b w:val="0"/>
                <w:bCs/>
                <w:kern w:val="0"/>
                <w:sz w:val="24"/>
                <w:szCs w:val="24"/>
                <w:lang w:val="en-US" w:eastAsia="zh-CN"/>
              </w:rPr>
            </w:pPr>
            <w:r>
              <w:rPr>
                <w:rFonts w:hint="eastAsia" w:ascii="宋体" w:hAnsi="宋体" w:cs="Arial"/>
                <w:b w:val="0"/>
                <w:bCs/>
                <w:kern w:val="0"/>
                <w:sz w:val="24"/>
                <w:szCs w:val="24"/>
                <w:lang w:val="en-US" w:eastAsia="zh-CN"/>
              </w:rPr>
              <w:t>2</w:t>
            </w:r>
          </w:p>
        </w:tc>
        <w:tc>
          <w:tcPr>
            <w:tcW w:w="1349" w:type="dxa"/>
            <w:shd w:val="clear" w:color="auto" w:fill="auto"/>
            <w:noWrap w:val="0"/>
            <w:vAlign w:val="center"/>
          </w:tcPr>
          <w:p w14:paraId="4AA863E8">
            <w:pPr>
              <w:widowControl/>
              <w:spacing w:line="240" w:lineRule="auto"/>
              <w:jc w:val="left"/>
              <w:rPr>
                <w:rFonts w:hint="default" w:ascii="宋体" w:hAnsi="宋体" w:cs="Arial"/>
                <w:b w:val="0"/>
                <w:bCs/>
                <w:kern w:val="0"/>
                <w:sz w:val="24"/>
                <w:szCs w:val="24"/>
                <w:lang w:val="en-US" w:eastAsia="zh-CN"/>
              </w:rPr>
            </w:pPr>
            <w:r>
              <w:rPr>
                <w:rFonts w:hint="eastAsia" w:ascii="宋体" w:hAnsi="宋体" w:cs="Arial"/>
                <w:b w:val="0"/>
                <w:bCs/>
                <w:kern w:val="0"/>
                <w:sz w:val="24"/>
                <w:szCs w:val="24"/>
                <w:lang w:val="en-US" w:eastAsia="zh-CN"/>
              </w:rPr>
              <w:t>处置费</w:t>
            </w:r>
          </w:p>
        </w:tc>
        <w:tc>
          <w:tcPr>
            <w:tcW w:w="3229" w:type="dxa"/>
            <w:shd w:val="clear" w:color="auto" w:fill="auto"/>
            <w:noWrap w:val="0"/>
            <w:vAlign w:val="center"/>
          </w:tcPr>
          <w:p w14:paraId="2920B9EC">
            <w:pPr>
              <w:widowControl/>
              <w:spacing w:line="240" w:lineRule="auto"/>
              <w:jc w:val="both"/>
              <w:rPr>
                <w:rFonts w:hint="default" w:ascii="宋体" w:hAnsi="宋体" w:eastAsia="宋体" w:cs="Arial"/>
                <w:b w:val="0"/>
                <w:bCs/>
                <w:color w:val="000000"/>
                <w:kern w:val="0"/>
                <w:sz w:val="24"/>
                <w:szCs w:val="24"/>
                <w:lang w:val="en-US" w:eastAsia="zh-CN"/>
              </w:rPr>
            </w:pPr>
            <w:r>
              <w:rPr>
                <w:rFonts w:hint="eastAsia" w:ascii="宋体" w:hAnsi="宋体" w:eastAsia="宋体" w:cs="Arial"/>
                <w:b w:val="0"/>
                <w:bCs/>
                <w:color w:val="000000"/>
                <w:kern w:val="0"/>
                <w:sz w:val="24"/>
                <w:szCs w:val="24"/>
                <w:lang w:val="en-US" w:eastAsia="zh-CN"/>
              </w:rPr>
              <w:t>XX元/具</w:t>
            </w:r>
          </w:p>
        </w:tc>
        <w:tc>
          <w:tcPr>
            <w:tcW w:w="3230" w:type="dxa"/>
            <w:shd w:val="clear" w:color="auto" w:fill="auto"/>
            <w:noWrap w:val="0"/>
            <w:vAlign w:val="center"/>
          </w:tcPr>
          <w:p w14:paraId="1B5BF65B">
            <w:pPr>
              <w:widowControl/>
              <w:spacing w:line="240" w:lineRule="auto"/>
              <w:jc w:val="both"/>
              <w:rPr>
                <w:rFonts w:hint="eastAsia" w:ascii="宋体" w:hAnsi="宋体" w:eastAsia="宋体" w:cs="Arial"/>
                <w:b w:val="0"/>
                <w:bCs/>
                <w:color w:val="000000"/>
                <w:kern w:val="0"/>
                <w:sz w:val="24"/>
                <w:szCs w:val="24"/>
                <w:lang w:val="en-US" w:eastAsia="zh-CN"/>
              </w:rPr>
            </w:pPr>
            <w:r>
              <w:rPr>
                <w:rFonts w:hint="default" w:asciiTheme="minorEastAsia" w:hAnsiTheme="minorEastAsia" w:cstheme="minorEastAsia"/>
                <w:b w:val="0"/>
                <w:bCs/>
                <w:color w:val="000000" w:themeColor="text1"/>
                <w:kern w:val="0"/>
                <w:sz w:val="24"/>
                <w:szCs w:val="24"/>
                <w:lang w:val="en-US" w:eastAsia="zh-CN"/>
                <w14:textFill>
                  <w14:solidFill>
                    <w14:schemeClr w14:val="tx1"/>
                  </w14:solidFill>
                </w14:textFill>
              </w:rPr>
              <w:t>每2袋(40cm以内塑料袋，如超出范围则按情况增加处理费用)病理性物为一具尸体</w:t>
            </w:r>
            <w:r>
              <w:rPr>
                <w:rFonts w:hint="eastAsia" w:asciiTheme="minorEastAsia" w:hAnsiTheme="minorEastAsia" w:cstheme="minorEastAsia"/>
                <w:b w:val="0"/>
                <w:bCs/>
                <w:color w:val="000000" w:themeColor="text1"/>
                <w:kern w:val="0"/>
                <w:sz w:val="24"/>
                <w:szCs w:val="24"/>
                <w:lang w:val="en-US" w:eastAsia="zh-CN"/>
                <w14:textFill>
                  <w14:solidFill>
                    <w14:schemeClr w14:val="tx1"/>
                  </w14:solidFill>
                </w14:textFill>
              </w:rPr>
              <w:t>.</w:t>
            </w:r>
          </w:p>
        </w:tc>
      </w:tr>
    </w:tbl>
    <w:p w14:paraId="37744DC8">
      <w:pPr>
        <w:ind w:firstLine="2409" w:firstLineChars="1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t xml:space="preserve">        </w:t>
      </w:r>
    </w:p>
    <w:p w14:paraId="1EBE8F43">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00AD7EE9">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01DF2075">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02BCB094">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t>报 价 公 司：</w:t>
      </w:r>
    </w:p>
    <w:p w14:paraId="609A2463">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3D650CC7">
      <w:pPr>
        <w:ind w:firstLine="4819" w:firstLineChars="20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312CC8A5">
      <w:pPr>
        <w:ind w:firstLine="4819" w:firstLineChars="2000"/>
        <w:rPr>
          <w:rFonts w:hint="default" w:asciiTheme="minorEastAsia" w:hAnsiTheme="minorEastAsia" w:cstheme="minorEastAsia"/>
          <w:b/>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t>联系电话：</w:t>
      </w:r>
    </w:p>
    <w:p w14:paraId="2D831002">
      <w:pPr>
        <w:ind w:firstLine="5301" w:firstLineChars="22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55F58FB5">
      <w:pPr>
        <w:ind w:firstLine="4096" w:firstLineChars="1700"/>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pPr>
    </w:p>
    <w:p w14:paraId="31FE4231">
      <w:pPr>
        <w:ind w:firstLine="4819" w:firstLineChars="2000"/>
        <w:rPr>
          <w:rFonts w:hint="default" w:asciiTheme="minorEastAsia" w:hAnsiTheme="minorEastAsia" w:cstheme="minorEastAsia"/>
          <w:b/>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color w:val="000000" w:themeColor="text1"/>
          <w:kern w:val="0"/>
          <w:sz w:val="24"/>
          <w:szCs w:val="24"/>
          <w:lang w:val="en-US" w:eastAsia="zh-CN"/>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 w:name="汉仪劲楷简">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97C3C"/>
    <w:rsid w:val="4EE81BBF"/>
    <w:rsid w:val="7A99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353</Characters>
  <Lines>0</Lines>
  <Paragraphs>0</Paragraphs>
  <TotalTime>4</TotalTime>
  <ScaleCrop>false</ScaleCrop>
  <LinksUpToDate>false</LinksUpToDate>
  <CharactersWithSpaces>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2025-12-29T02:49:00Z</dcterms:created>
  <dc:creator>无奈轮回</dc:creator>
  <cp:lastModifiedBy>无奈轮回</cp:lastModifiedBy>
  <dcterms:modified xsi:type="dcterms:W3CDTF">2025-12-29T03:46:47Z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38E5224BCB184BBC8E7324BB047EF5E1_11</vt:lpwstr>
  </property>
  <property fmtid="{D5CDD505-2E9C-101B-9397-08002B2CF9AE}" pid="4" name="KSOTemplateDocerSaveRecord">
    <vt:lpwstr>eyJoZGlkIjoiNjY0ZjgwYTc1NTE1MmFiMDdlMjI5MmVhZDM1NGY5NTAiLCJ1c2VySWQiOiIyNjM3Nzk1MTYifQ==</vt:lpwstr>
  </property>
</Properties>
</file>