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8FDC6">
      <w:pPr>
        <w:spacing w:line="460" w:lineRule="exact"/>
        <w:ind w:left="0" w:leftChars="0" w:firstLine="0" w:firstLineChars="0"/>
        <w:jc w:val="left"/>
        <w:rPr>
          <w:rFonts w:hint="eastAsia" w:ascii="仿宋" w:hAnsi="仿宋" w:eastAsia="仿宋" w:cs="仿宋"/>
          <w:sz w:val="32"/>
          <w:szCs w:val="32"/>
        </w:rPr>
      </w:pPr>
      <w:r>
        <w:rPr>
          <w:rFonts w:hint="eastAsia" w:ascii="仿宋" w:hAnsi="仿宋" w:eastAsia="仿宋" w:cs="仿宋"/>
          <w:sz w:val="32"/>
          <w:szCs w:val="32"/>
        </w:rPr>
        <w:t>附件1</w:t>
      </w:r>
    </w:p>
    <w:p w14:paraId="20FA8DC4">
      <w:pPr>
        <w:jc w:val="center"/>
        <w:rPr>
          <w:rFonts w:hint="eastAsia" w:ascii="仿宋" w:hAnsi="仿宋" w:eastAsia="仿宋" w:cs="仿宋"/>
          <w:sz w:val="28"/>
          <w:szCs w:val="28"/>
          <w:lang w:val="en-US" w:eastAsia="zh-CN"/>
        </w:rPr>
      </w:pPr>
      <w:r>
        <w:rPr>
          <w:rFonts w:hint="eastAsia" w:ascii="仿宋" w:hAnsi="仿宋" w:eastAsia="仿宋" w:cs="仿宋"/>
          <w:sz w:val="28"/>
          <w:szCs w:val="28"/>
          <w:u w:val="single"/>
          <w:lang w:val="en-US" w:eastAsia="zh-CN"/>
        </w:rPr>
        <w:t xml:space="preserve">                   公司</w:t>
      </w:r>
      <w:r>
        <w:rPr>
          <w:rFonts w:hint="eastAsia" w:ascii="仿宋" w:hAnsi="仿宋" w:eastAsia="仿宋" w:cs="仿宋"/>
          <w:sz w:val="28"/>
          <w:szCs w:val="28"/>
          <w:lang w:val="en-US" w:eastAsia="zh-CN"/>
        </w:rPr>
        <w:t xml:space="preserve"> 报价单</w:t>
      </w:r>
    </w:p>
    <w:p w14:paraId="5DE94C59">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r>
        <w:rPr>
          <w:rFonts w:hint="eastAsia" w:ascii="仿宋" w:hAnsi="仿宋" w:eastAsia="仿宋" w:cs="仿宋"/>
          <w:sz w:val="28"/>
          <w:szCs w:val="28"/>
          <w:u w:val="single"/>
          <w:lang w:val="en-US" w:eastAsia="zh-CN"/>
        </w:rPr>
        <w:t>浙江省人民医院毕节医院广惠院区三号楼8楼皮肤科药浴室改造项目</w:t>
      </w:r>
    </w:p>
    <w:tbl>
      <w:tblPr>
        <w:tblStyle w:val="7"/>
        <w:tblW w:w="8731"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1"/>
        <w:gridCol w:w="4319"/>
        <w:gridCol w:w="916"/>
        <w:gridCol w:w="1410"/>
        <w:gridCol w:w="1275"/>
      </w:tblGrid>
      <w:tr w14:paraId="0BEA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1" w:type="dxa"/>
            <w:vMerge w:val="restart"/>
            <w:shd w:val="clear" w:color="auto" w:fill="auto"/>
            <w:vAlign w:val="center"/>
          </w:tcPr>
          <w:p w14:paraId="6C075ED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319" w:type="dxa"/>
            <w:vMerge w:val="restart"/>
            <w:shd w:val="clear" w:color="auto" w:fill="auto"/>
            <w:vAlign w:val="center"/>
          </w:tcPr>
          <w:p w14:paraId="0AE3E464">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分部、分项工程名称：</w:t>
            </w:r>
          </w:p>
        </w:tc>
        <w:tc>
          <w:tcPr>
            <w:tcW w:w="916" w:type="dxa"/>
            <w:vMerge w:val="restart"/>
            <w:shd w:val="clear" w:color="auto" w:fill="auto"/>
            <w:vAlign w:val="center"/>
          </w:tcPr>
          <w:p w14:paraId="309FA3A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410" w:type="dxa"/>
            <w:vMerge w:val="restart"/>
            <w:shd w:val="clear" w:color="auto" w:fill="auto"/>
            <w:vAlign w:val="center"/>
          </w:tcPr>
          <w:p w14:paraId="39A7E7D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工程量</w:t>
            </w:r>
          </w:p>
        </w:tc>
        <w:tc>
          <w:tcPr>
            <w:tcW w:w="1275" w:type="dxa"/>
            <w:vMerge w:val="restart"/>
            <w:shd w:val="clear" w:color="auto" w:fill="auto"/>
            <w:vAlign w:val="center"/>
          </w:tcPr>
          <w:p w14:paraId="629CC83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报价</w:t>
            </w:r>
          </w:p>
        </w:tc>
      </w:tr>
      <w:tr w14:paraId="4F5D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11" w:type="dxa"/>
            <w:vMerge w:val="continue"/>
            <w:shd w:val="clear" w:color="auto" w:fill="auto"/>
            <w:vAlign w:val="center"/>
          </w:tcPr>
          <w:p w14:paraId="25E27FA2">
            <w:pPr>
              <w:jc w:val="center"/>
              <w:rPr>
                <w:rFonts w:hint="eastAsia" w:ascii="仿宋" w:hAnsi="仿宋" w:eastAsia="仿宋" w:cs="仿宋"/>
                <w:b/>
                <w:bCs/>
                <w:i w:val="0"/>
                <w:iCs w:val="0"/>
                <w:color w:val="000000"/>
                <w:sz w:val="24"/>
                <w:szCs w:val="24"/>
                <w:u w:val="none"/>
              </w:rPr>
            </w:pPr>
          </w:p>
        </w:tc>
        <w:tc>
          <w:tcPr>
            <w:tcW w:w="4319" w:type="dxa"/>
            <w:vMerge w:val="continue"/>
            <w:shd w:val="clear" w:color="auto" w:fill="auto"/>
            <w:vAlign w:val="center"/>
          </w:tcPr>
          <w:p w14:paraId="50F55A9E">
            <w:pPr>
              <w:jc w:val="left"/>
              <w:rPr>
                <w:rFonts w:hint="eastAsia" w:ascii="仿宋" w:hAnsi="仿宋" w:eastAsia="仿宋" w:cs="仿宋"/>
                <w:b/>
                <w:bCs/>
                <w:i w:val="0"/>
                <w:iCs w:val="0"/>
                <w:color w:val="000000"/>
                <w:sz w:val="24"/>
                <w:szCs w:val="24"/>
                <w:u w:val="none"/>
              </w:rPr>
            </w:pPr>
          </w:p>
        </w:tc>
        <w:tc>
          <w:tcPr>
            <w:tcW w:w="916" w:type="dxa"/>
            <w:vMerge w:val="continue"/>
            <w:shd w:val="clear" w:color="auto" w:fill="auto"/>
            <w:vAlign w:val="center"/>
          </w:tcPr>
          <w:p w14:paraId="349DA2D0">
            <w:pPr>
              <w:jc w:val="center"/>
              <w:rPr>
                <w:rFonts w:hint="eastAsia" w:ascii="仿宋" w:hAnsi="仿宋" w:eastAsia="仿宋" w:cs="仿宋"/>
                <w:b/>
                <w:bCs/>
                <w:i w:val="0"/>
                <w:iCs w:val="0"/>
                <w:color w:val="000000"/>
                <w:sz w:val="24"/>
                <w:szCs w:val="24"/>
                <w:u w:val="none"/>
              </w:rPr>
            </w:pPr>
          </w:p>
        </w:tc>
        <w:tc>
          <w:tcPr>
            <w:tcW w:w="1410" w:type="dxa"/>
            <w:vMerge w:val="continue"/>
            <w:shd w:val="clear" w:color="auto" w:fill="auto"/>
            <w:vAlign w:val="center"/>
          </w:tcPr>
          <w:p w14:paraId="697972F1">
            <w:pPr>
              <w:jc w:val="center"/>
              <w:rPr>
                <w:rFonts w:hint="eastAsia" w:ascii="仿宋" w:hAnsi="仿宋" w:eastAsia="仿宋" w:cs="仿宋"/>
                <w:b/>
                <w:bCs/>
                <w:i w:val="0"/>
                <w:iCs w:val="0"/>
                <w:color w:val="000000"/>
                <w:sz w:val="24"/>
                <w:szCs w:val="24"/>
                <w:u w:val="none"/>
              </w:rPr>
            </w:pPr>
          </w:p>
        </w:tc>
        <w:tc>
          <w:tcPr>
            <w:tcW w:w="1275" w:type="dxa"/>
            <w:vMerge w:val="continue"/>
            <w:shd w:val="clear" w:color="auto" w:fill="auto"/>
            <w:vAlign w:val="center"/>
          </w:tcPr>
          <w:p w14:paraId="63AFAC4F">
            <w:pPr>
              <w:jc w:val="center"/>
              <w:rPr>
                <w:rFonts w:hint="eastAsia" w:ascii="仿宋" w:hAnsi="仿宋" w:eastAsia="仿宋" w:cs="仿宋"/>
                <w:b/>
                <w:bCs/>
                <w:i w:val="0"/>
                <w:iCs w:val="0"/>
                <w:color w:val="000000"/>
                <w:sz w:val="24"/>
                <w:szCs w:val="24"/>
                <w:u w:val="none"/>
              </w:rPr>
            </w:pPr>
          </w:p>
        </w:tc>
      </w:tr>
      <w:tr w14:paraId="0E2E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trPr>
        <w:tc>
          <w:tcPr>
            <w:tcW w:w="811" w:type="dxa"/>
            <w:shd w:val="clear" w:color="auto" w:fill="auto"/>
            <w:vAlign w:val="center"/>
          </w:tcPr>
          <w:p w14:paraId="2E2B7DFA">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4319" w:type="dxa"/>
            <w:shd w:val="clear" w:color="auto" w:fill="auto"/>
            <w:vAlign w:val="center"/>
          </w:tcPr>
          <w:p w14:paraId="2BAA8678">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拆除卫生间</w:t>
            </w:r>
          </w:p>
        </w:tc>
        <w:tc>
          <w:tcPr>
            <w:tcW w:w="916" w:type="dxa"/>
            <w:shd w:val="clear" w:color="auto" w:fill="auto"/>
            <w:noWrap/>
            <w:vAlign w:val="center"/>
          </w:tcPr>
          <w:p w14:paraId="1B414E18">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项</w:t>
            </w:r>
          </w:p>
        </w:tc>
        <w:tc>
          <w:tcPr>
            <w:tcW w:w="1410" w:type="dxa"/>
            <w:shd w:val="clear" w:color="auto" w:fill="auto"/>
            <w:noWrap/>
            <w:vAlign w:val="center"/>
          </w:tcPr>
          <w:p w14:paraId="03E5C4F3">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275" w:type="dxa"/>
            <w:shd w:val="clear" w:color="auto" w:fill="auto"/>
            <w:vAlign w:val="center"/>
          </w:tcPr>
          <w:p w14:paraId="23D56759">
            <w:pPr>
              <w:jc w:val="center"/>
              <w:rPr>
                <w:rFonts w:hint="eastAsia" w:ascii="仿宋" w:hAnsi="仿宋" w:eastAsia="仿宋" w:cs="仿宋"/>
                <w:i w:val="0"/>
                <w:iCs w:val="0"/>
                <w:color w:val="000000"/>
                <w:sz w:val="24"/>
                <w:szCs w:val="24"/>
                <w:u w:val="none"/>
                <w:lang w:val="en-US" w:eastAsia="zh-CN"/>
              </w:rPr>
            </w:pPr>
          </w:p>
        </w:tc>
      </w:tr>
      <w:tr w14:paraId="5E3E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11" w:type="dxa"/>
            <w:shd w:val="clear" w:color="auto" w:fill="auto"/>
            <w:vAlign w:val="center"/>
          </w:tcPr>
          <w:p w14:paraId="0BAEE8CB">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4319" w:type="dxa"/>
            <w:shd w:val="clear" w:color="auto" w:fill="auto"/>
            <w:vAlign w:val="center"/>
          </w:tcPr>
          <w:p w14:paraId="311669E9">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拆除墙砖</w:t>
            </w:r>
          </w:p>
        </w:tc>
        <w:tc>
          <w:tcPr>
            <w:tcW w:w="916" w:type="dxa"/>
            <w:shd w:val="clear" w:color="auto" w:fill="auto"/>
            <w:noWrap/>
            <w:vAlign w:val="center"/>
          </w:tcPr>
          <w:p w14:paraId="2B05DB6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1410" w:type="dxa"/>
            <w:shd w:val="clear" w:color="auto" w:fill="auto"/>
            <w:noWrap/>
            <w:vAlign w:val="center"/>
          </w:tcPr>
          <w:p w14:paraId="09BE2B18">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27.84</w:t>
            </w:r>
          </w:p>
        </w:tc>
        <w:tc>
          <w:tcPr>
            <w:tcW w:w="1275" w:type="dxa"/>
            <w:shd w:val="clear" w:color="auto" w:fill="auto"/>
            <w:vAlign w:val="center"/>
          </w:tcPr>
          <w:p w14:paraId="47C617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45DB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1" w:type="dxa"/>
            <w:shd w:val="clear" w:color="auto" w:fill="auto"/>
            <w:vAlign w:val="center"/>
          </w:tcPr>
          <w:p w14:paraId="6C5CD8CF">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4319" w:type="dxa"/>
            <w:shd w:val="clear" w:color="auto" w:fill="auto"/>
            <w:vAlign w:val="center"/>
          </w:tcPr>
          <w:p w14:paraId="49B13941">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拆除吊顶</w:t>
            </w:r>
          </w:p>
        </w:tc>
        <w:tc>
          <w:tcPr>
            <w:tcW w:w="916" w:type="dxa"/>
            <w:shd w:val="clear" w:color="auto" w:fill="auto"/>
            <w:noWrap/>
            <w:vAlign w:val="center"/>
          </w:tcPr>
          <w:p w14:paraId="605663D8">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1410" w:type="dxa"/>
            <w:shd w:val="clear" w:color="auto" w:fill="auto"/>
            <w:noWrap/>
            <w:vAlign w:val="center"/>
          </w:tcPr>
          <w:p w14:paraId="2D005D62">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21.7</w:t>
            </w:r>
          </w:p>
        </w:tc>
        <w:tc>
          <w:tcPr>
            <w:tcW w:w="1275" w:type="dxa"/>
            <w:shd w:val="clear" w:color="auto" w:fill="auto"/>
            <w:vAlign w:val="center"/>
          </w:tcPr>
          <w:p w14:paraId="062214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4981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1" w:type="dxa"/>
            <w:shd w:val="clear" w:color="auto" w:fill="auto"/>
            <w:vAlign w:val="center"/>
          </w:tcPr>
          <w:p w14:paraId="0172C244">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w:t>
            </w:r>
          </w:p>
        </w:tc>
        <w:tc>
          <w:tcPr>
            <w:tcW w:w="4319" w:type="dxa"/>
            <w:shd w:val="clear" w:color="auto" w:fill="auto"/>
            <w:vAlign w:val="center"/>
          </w:tcPr>
          <w:p w14:paraId="1ADE31AC">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新铺地砖</w:t>
            </w:r>
          </w:p>
        </w:tc>
        <w:tc>
          <w:tcPr>
            <w:tcW w:w="916" w:type="dxa"/>
            <w:shd w:val="clear" w:color="auto" w:fill="auto"/>
            <w:noWrap/>
            <w:vAlign w:val="center"/>
          </w:tcPr>
          <w:p w14:paraId="1BA02F9E">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1410" w:type="dxa"/>
            <w:shd w:val="clear" w:color="auto" w:fill="auto"/>
            <w:noWrap/>
            <w:vAlign w:val="center"/>
          </w:tcPr>
          <w:p w14:paraId="54A9E231">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22.4</w:t>
            </w:r>
          </w:p>
        </w:tc>
        <w:tc>
          <w:tcPr>
            <w:tcW w:w="1275" w:type="dxa"/>
            <w:shd w:val="clear" w:color="auto" w:fill="auto"/>
            <w:vAlign w:val="center"/>
          </w:tcPr>
          <w:p w14:paraId="348655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w:t>
            </w:r>
          </w:p>
        </w:tc>
      </w:tr>
      <w:tr w14:paraId="5327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11" w:type="dxa"/>
            <w:shd w:val="clear" w:color="auto" w:fill="auto"/>
            <w:vAlign w:val="center"/>
          </w:tcPr>
          <w:p w14:paraId="15ECD75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w:t>
            </w:r>
          </w:p>
        </w:tc>
        <w:tc>
          <w:tcPr>
            <w:tcW w:w="4319" w:type="dxa"/>
            <w:shd w:val="clear" w:color="auto" w:fill="auto"/>
            <w:vAlign w:val="center"/>
          </w:tcPr>
          <w:p w14:paraId="69B56B67">
            <w:pPr>
              <w:keepNext w:val="0"/>
              <w:keepLines w:val="0"/>
              <w:widowControl/>
              <w:suppressLineNumbers w:val="0"/>
              <w:jc w:val="both"/>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新作地台</w:t>
            </w:r>
          </w:p>
        </w:tc>
        <w:tc>
          <w:tcPr>
            <w:tcW w:w="916" w:type="dxa"/>
            <w:shd w:val="clear" w:color="auto" w:fill="auto"/>
            <w:noWrap/>
            <w:vAlign w:val="center"/>
          </w:tcPr>
          <w:p w14:paraId="3C5828D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m³</w:t>
            </w:r>
          </w:p>
        </w:tc>
        <w:tc>
          <w:tcPr>
            <w:tcW w:w="1410" w:type="dxa"/>
            <w:shd w:val="clear" w:color="auto" w:fill="auto"/>
            <w:noWrap/>
            <w:vAlign w:val="center"/>
          </w:tcPr>
          <w:p w14:paraId="2814F3B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3.15</w:t>
            </w:r>
          </w:p>
        </w:tc>
        <w:tc>
          <w:tcPr>
            <w:tcW w:w="1275" w:type="dxa"/>
            <w:shd w:val="clear" w:color="auto" w:fill="auto"/>
            <w:vAlign w:val="center"/>
          </w:tcPr>
          <w:p w14:paraId="37EBF6C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r w14:paraId="0003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shd w:val="clear" w:color="auto" w:fill="auto"/>
            <w:vAlign w:val="center"/>
          </w:tcPr>
          <w:p w14:paraId="4D9A874B">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c>
          <w:tcPr>
            <w:tcW w:w="4319" w:type="dxa"/>
            <w:shd w:val="clear" w:color="auto" w:fill="auto"/>
            <w:vAlign w:val="center"/>
          </w:tcPr>
          <w:p w14:paraId="4ED5FD6A">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新铺墙砖</w:t>
            </w:r>
          </w:p>
        </w:tc>
        <w:tc>
          <w:tcPr>
            <w:tcW w:w="916" w:type="dxa"/>
            <w:shd w:val="clear" w:color="auto" w:fill="auto"/>
            <w:noWrap/>
            <w:vAlign w:val="center"/>
          </w:tcPr>
          <w:p w14:paraId="7B4A9B92">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1410" w:type="dxa"/>
            <w:shd w:val="clear" w:color="auto" w:fill="auto"/>
            <w:noWrap/>
            <w:vAlign w:val="center"/>
          </w:tcPr>
          <w:p w14:paraId="3B3990FB">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51.38</w:t>
            </w:r>
          </w:p>
        </w:tc>
        <w:tc>
          <w:tcPr>
            <w:tcW w:w="1275" w:type="dxa"/>
            <w:shd w:val="clear" w:color="auto" w:fill="auto"/>
            <w:vAlign w:val="center"/>
          </w:tcPr>
          <w:p w14:paraId="2FBD4AA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p>
        </w:tc>
      </w:tr>
      <w:tr w14:paraId="148E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shd w:val="clear" w:color="auto" w:fill="auto"/>
            <w:vAlign w:val="center"/>
          </w:tcPr>
          <w:p w14:paraId="46552B85">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w:t>
            </w:r>
          </w:p>
        </w:tc>
        <w:tc>
          <w:tcPr>
            <w:tcW w:w="4319" w:type="dxa"/>
            <w:shd w:val="clear" w:color="auto" w:fill="auto"/>
            <w:vAlign w:val="center"/>
          </w:tcPr>
          <w:p w14:paraId="0642FC01">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新作防水</w:t>
            </w:r>
          </w:p>
        </w:tc>
        <w:tc>
          <w:tcPr>
            <w:tcW w:w="916" w:type="dxa"/>
            <w:shd w:val="clear" w:color="auto" w:fill="auto"/>
            <w:noWrap/>
            <w:vAlign w:val="center"/>
          </w:tcPr>
          <w:p w14:paraId="3724D3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w:t>
            </w:r>
          </w:p>
        </w:tc>
        <w:tc>
          <w:tcPr>
            <w:tcW w:w="1410" w:type="dxa"/>
            <w:shd w:val="clear" w:color="auto" w:fill="auto"/>
            <w:noWrap/>
            <w:vAlign w:val="center"/>
          </w:tcPr>
          <w:p w14:paraId="3253665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52</w:t>
            </w:r>
          </w:p>
        </w:tc>
        <w:tc>
          <w:tcPr>
            <w:tcW w:w="1275" w:type="dxa"/>
            <w:shd w:val="clear" w:color="auto" w:fill="auto"/>
            <w:vAlign w:val="center"/>
          </w:tcPr>
          <w:p w14:paraId="2B452652">
            <w:pPr>
              <w:jc w:val="center"/>
              <w:rPr>
                <w:rFonts w:hint="eastAsia" w:ascii="仿宋" w:hAnsi="仿宋" w:eastAsia="仿宋" w:cs="仿宋"/>
                <w:i w:val="0"/>
                <w:iCs w:val="0"/>
                <w:color w:val="000000"/>
                <w:sz w:val="24"/>
                <w:szCs w:val="24"/>
                <w:u w:val="none"/>
                <w:lang w:val="en-US" w:eastAsia="zh-CN"/>
              </w:rPr>
            </w:pPr>
          </w:p>
        </w:tc>
      </w:tr>
      <w:tr w14:paraId="7833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1" w:type="dxa"/>
            <w:shd w:val="clear" w:color="auto" w:fill="auto"/>
            <w:vAlign w:val="center"/>
          </w:tcPr>
          <w:p w14:paraId="4C004FE2">
            <w:pPr>
              <w:jc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8</w:t>
            </w:r>
          </w:p>
        </w:tc>
        <w:tc>
          <w:tcPr>
            <w:tcW w:w="4319" w:type="dxa"/>
            <w:shd w:val="clear" w:color="auto" w:fill="auto"/>
            <w:vAlign w:val="center"/>
          </w:tcPr>
          <w:p w14:paraId="3076006C">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新做钢化磨砂玻璃隔断</w:t>
            </w:r>
          </w:p>
        </w:tc>
        <w:tc>
          <w:tcPr>
            <w:tcW w:w="916" w:type="dxa"/>
            <w:shd w:val="clear" w:color="auto" w:fill="auto"/>
            <w:noWrap/>
            <w:vAlign w:val="center"/>
          </w:tcPr>
          <w:p w14:paraId="2140EBF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1410" w:type="dxa"/>
            <w:shd w:val="clear" w:color="auto" w:fill="auto"/>
            <w:vAlign w:val="center"/>
          </w:tcPr>
          <w:p w14:paraId="689ADF60">
            <w:pPr>
              <w:jc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21</w:t>
            </w:r>
          </w:p>
        </w:tc>
        <w:tc>
          <w:tcPr>
            <w:tcW w:w="1275" w:type="dxa"/>
            <w:shd w:val="clear" w:color="auto" w:fill="auto"/>
            <w:vAlign w:val="center"/>
          </w:tcPr>
          <w:p w14:paraId="2977DDBA">
            <w:pPr>
              <w:jc w:val="center"/>
              <w:rPr>
                <w:rFonts w:hint="eastAsia" w:ascii="仿宋" w:hAnsi="仿宋" w:eastAsia="仿宋" w:cs="仿宋"/>
                <w:b/>
                <w:bCs/>
                <w:i w:val="0"/>
                <w:iCs w:val="0"/>
                <w:color w:val="000000"/>
                <w:sz w:val="24"/>
                <w:szCs w:val="24"/>
                <w:u w:val="none"/>
                <w:lang w:val="en-US" w:eastAsia="zh-CN"/>
              </w:rPr>
            </w:pPr>
          </w:p>
        </w:tc>
      </w:tr>
      <w:tr w14:paraId="3AF5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1" w:type="dxa"/>
            <w:shd w:val="clear" w:color="auto" w:fill="auto"/>
            <w:vAlign w:val="center"/>
          </w:tcPr>
          <w:p w14:paraId="07F3499A">
            <w:pPr>
              <w:jc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9</w:t>
            </w:r>
          </w:p>
        </w:tc>
        <w:tc>
          <w:tcPr>
            <w:tcW w:w="4319" w:type="dxa"/>
            <w:shd w:val="clear" w:color="auto" w:fill="auto"/>
            <w:vAlign w:val="center"/>
          </w:tcPr>
          <w:p w14:paraId="384B0824">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新做600*600铝扣板吊顶（0.8MM厚，含600*600LED灯2个）</w:t>
            </w:r>
          </w:p>
        </w:tc>
        <w:tc>
          <w:tcPr>
            <w:tcW w:w="916" w:type="dxa"/>
            <w:shd w:val="clear" w:color="auto" w:fill="auto"/>
            <w:noWrap/>
            <w:vAlign w:val="center"/>
          </w:tcPr>
          <w:p w14:paraId="43534F72">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1410" w:type="dxa"/>
            <w:shd w:val="clear" w:color="auto" w:fill="auto"/>
            <w:vAlign w:val="center"/>
          </w:tcPr>
          <w:p w14:paraId="3096422D">
            <w:pPr>
              <w:jc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21.7</w:t>
            </w:r>
          </w:p>
        </w:tc>
        <w:tc>
          <w:tcPr>
            <w:tcW w:w="1275" w:type="dxa"/>
            <w:shd w:val="clear" w:color="auto" w:fill="auto"/>
            <w:vAlign w:val="center"/>
          </w:tcPr>
          <w:p w14:paraId="4EC70943">
            <w:pPr>
              <w:jc w:val="center"/>
              <w:rPr>
                <w:rFonts w:hint="eastAsia" w:ascii="仿宋" w:hAnsi="仿宋" w:eastAsia="仿宋" w:cs="仿宋"/>
                <w:b/>
                <w:bCs/>
                <w:i w:val="0"/>
                <w:iCs w:val="0"/>
                <w:color w:val="000000"/>
                <w:sz w:val="24"/>
                <w:szCs w:val="24"/>
                <w:u w:val="none"/>
                <w:lang w:val="en-US" w:eastAsia="zh-CN"/>
              </w:rPr>
            </w:pPr>
          </w:p>
        </w:tc>
      </w:tr>
      <w:tr w14:paraId="60B3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11" w:type="dxa"/>
            <w:shd w:val="clear" w:color="auto" w:fill="auto"/>
            <w:vAlign w:val="center"/>
          </w:tcPr>
          <w:p w14:paraId="7878F66D">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c>
          <w:tcPr>
            <w:tcW w:w="4319" w:type="dxa"/>
            <w:shd w:val="clear" w:color="auto" w:fill="auto"/>
            <w:vAlign w:val="center"/>
          </w:tcPr>
          <w:p w14:paraId="11CF2CFC">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 xml:space="preserve">给排水安装（含管道及配件） </w:t>
            </w:r>
          </w:p>
        </w:tc>
        <w:tc>
          <w:tcPr>
            <w:tcW w:w="916" w:type="dxa"/>
            <w:shd w:val="clear" w:color="auto" w:fill="auto"/>
            <w:noWrap/>
            <w:vAlign w:val="center"/>
          </w:tcPr>
          <w:p w14:paraId="653A358B">
            <w:pPr>
              <w:keepNext w:val="0"/>
              <w:keepLines w:val="0"/>
              <w:widowControl/>
              <w:suppressLineNumbers w:val="0"/>
              <w:tabs>
                <w:tab w:val="center" w:pos="350"/>
              </w:tabs>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项</w:t>
            </w:r>
          </w:p>
        </w:tc>
        <w:tc>
          <w:tcPr>
            <w:tcW w:w="1410" w:type="dxa"/>
            <w:shd w:val="clear" w:color="auto" w:fill="auto"/>
            <w:vAlign w:val="center"/>
          </w:tcPr>
          <w:p w14:paraId="38013C9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1275" w:type="dxa"/>
            <w:shd w:val="clear" w:color="auto" w:fill="auto"/>
            <w:vAlign w:val="center"/>
          </w:tcPr>
          <w:p w14:paraId="2BECFABF">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4063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1" w:type="dxa"/>
            <w:shd w:val="clear" w:color="auto" w:fill="auto"/>
            <w:vAlign w:val="center"/>
          </w:tcPr>
          <w:p w14:paraId="5E04099A">
            <w:pPr>
              <w:jc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11</w:t>
            </w:r>
          </w:p>
        </w:tc>
        <w:tc>
          <w:tcPr>
            <w:tcW w:w="4319" w:type="dxa"/>
            <w:shd w:val="clear" w:color="auto" w:fill="auto"/>
            <w:vAlign w:val="center"/>
          </w:tcPr>
          <w:p w14:paraId="6D9549D2">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热水器热药锅电源线（6平方）</w:t>
            </w:r>
          </w:p>
        </w:tc>
        <w:tc>
          <w:tcPr>
            <w:tcW w:w="916" w:type="dxa"/>
            <w:shd w:val="clear" w:color="auto" w:fill="auto"/>
            <w:noWrap/>
            <w:vAlign w:val="center"/>
          </w:tcPr>
          <w:p w14:paraId="7000132B">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M</w:t>
            </w:r>
          </w:p>
        </w:tc>
        <w:tc>
          <w:tcPr>
            <w:tcW w:w="1410" w:type="dxa"/>
            <w:shd w:val="clear" w:color="auto" w:fill="auto"/>
            <w:vAlign w:val="center"/>
          </w:tcPr>
          <w:p w14:paraId="3F910363">
            <w:pPr>
              <w:jc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200</w:t>
            </w:r>
          </w:p>
        </w:tc>
        <w:tc>
          <w:tcPr>
            <w:tcW w:w="1275" w:type="dxa"/>
            <w:shd w:val="clear" w:color="auto" w:fill="auto"/>
            <w:vAlign w:val="center"/>
          </w:tcPr>
          <w:p w14:paraId="2C16C922">
            <w:pPr>
              <w:jc w:val="center"/>
              <w:rPr>
                <w:rFonts w:hint="eastAsia" w:ascii="仿宋" w:hAnsi="仿宋" w:eastAsia="仿宋" w:cs="仿宋"/>
                <w:b/>
                <w:bCs/>
                <w:i w:val="0"/>
                <w:iCs w:val="0"/>
                <w:color w:val="000000"/>
                <w:sz w:val="24"/>
                <w:szCs w:val="24"/>
                <w:u w:val="none"/>
                <w:lang w:val="en-US" w:eastAsia="zh-CN"/>
              </w:rPr>
            </w:pPr>
          </w:p>
        </w:tc>
      </w:tr>
      <w:tr w14:paraId="0E78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1" w:type="dxa"/>
            <w:shd w:val="clear" w:color="auto" w:fill="auto"/>
            <w:vAlign w:val="center"/>
          </w:tcPr>
          <w:p w14:paraId="31431ED3">
            <w:pPr>
              <w:jc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12</w:t>
            </w:r>
          </w:p>
        </w:tc>
        <w:tc>
          <w:tcPr>
            <w:tcW w:w="4319" w:type="dxa"/>
            <w:shd w:val="clear" w:color="auto" w:fill="auto"/>
            <w:vAlign w:val="center"/>
          </w:tcPr>
          <w:p w14:paraId="5BFFBC0E">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 xml:space="preserve">电源配件（空开2个.插座3个 开关1个 ） </w:t>
            </w:r>
          </w:p>
        </w:tc>
        <w:tc>
          <w:tcPr>
            <w:tcW w:w="916" w:type="dxa"/>
            <w:shd w:val="clear" w:color="auto" w:fill="auto"/>
            <w:noWrap/>
            <w:vAlign w:val="center"/>
          </w:tcPr>
          <w:p w14:paraId="1996620E">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项</w:t>
            </w:r>
          </w:p>
        </w:tc>
        <w:tc>
          <w:tcPr>
            <w:tcW w:w="1410" w:type="dxa"/>
            <w:shd w:val="clear" w:color="auto" w:fill="auto"/>
            <w:vAlign w:val="center"/>
          </w:tcPr>
          <w:p w14:paraId="24DE676A">
            <w:pPr>
              <w:jc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w:t>
            </w:r>
          </w:p>
        </w:tc>
        <w:tc>
          <w:tcPr>
            <w:tcW w:w="1275" w:type="dxa"/>
            <w:shd w:val="clear" w:color="auto" w:fill="auto"/>
            <w:vAlign w:val="center"/>
          </w:tcPr>
          <w:p w14:paraId="3D0FFFC4">
            <w:pPr>
              <w:jc w:val="center"/>
              <w:rPr>
                <w:rFonts w:hint="eastAsia" w:ascii="仿宋" w:hAnsi="仿宋" w:eastAsia="仿宋" w:cs="仿宋"/>
                <w:b/>
                <w:bCs/>
                <w:i w:val="0"/>
                <w:iCs w:val="0"/>
                <w:color w:val="000000"/>
                <w:sz w:val="24"/>
                <w:szCs w:val="24"/>
                <w:u w:val="none"/>
                <w:lang w:val="en-US" w:eastAsia="zh-CN"/>
              </w:rPr>
            </w:pPr>
          </w:p>
        </w:tc>
      </w:tr>
      <w:tr w14:paraId="08DC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11" w:type="dxa"/>
            <w:shd w:val="clear" w:color="auto" w:fill="auto"/>
            <w:vAlign w:val="center"/>
          </w:tcPr>
          <w:p w14:paraId="1FD087F4">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w:t>
            </w:r>
          </w:p>
        </w:tc>
        <w:tc>
          <w:tcPr>
            <w:tcW w:w="4319" w:type="dxa"/>
            <w:shd w:val="clear" w:color="auto" w:fill="auto"/>
            <w:vAlign w:val="center"/>
          </w:tcPr>
          <w:p w14:paraId="39FB0571">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垃圾外运</w:t>
            </w:r>
          </w:p>
        </w:tc>
        <w:tc>
          <w:tcPr>
            <w:tcW w:w="916" w:type="dxa"/>
            <w:shd w:val="clear" w:color="auto" w:fill="auto"/>
            <w:noWrap/>
            <w:vAlign w:val="center"/>
          </w:tcPr>
          <w:p w14:paraId="397AC00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项</w:t>
            </w:r>
          </w:p>
        </w:tc>
        <w:tc>
          <w:tcPr>
            <w:tcW w:w="1410" w:type="dxa"/>
            <w:shd w:val="clear" w:color="auto" w:fill="auto"/>
            <w:vAlign w:val="center"/>
          </w:tcPr>
          <w:p w14:paraId="57C6AE0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sz w:val="24"/>
                <w:szCs w:val="24"/>
                <w:u w:val="none"/>
                <w:lang w:val="en-US" w:eastAsia="zh-CN"/>
              </w:rPr>
              <w:t>1</w:t>
            </w:r>
          </w:p>
        </w:tc>
        <w:tc>
          <w:tcPr>
            <w:tcW w:w="1275" w:type="dxa"/>
            <w:shd w:val="clear" w:color="auto" w:fill="auto"/>
            <w:vAlign w:val="center"/>
          </w:tcPr>
          <w:p w14:paraId="54EC6F54">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5CD2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11" w:type="dxa"/>
            <w:shd w:val="clear" w:color="auto" w:fill="auto"/>
            <w:vAlign w:val="center"/>
          </w:tcPr>
          <w:p w14:paraId="25BE55DB">
            <w:pPr>
              <w:jc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14</w:t>
            </w:r>
          </w:p>
        </w:tc>
        <w:tc>
          <w:tcPr>
            <w:tcW w:w="7920" w:type="dxa"/>
            <w:gridSpan w:val="4"/>
            <w:shd w:val="clear" w:color="auto" w:fill="auto"/>
            <w:vAlign w:val="center"/>
          </w:tcPr>
          <w:p w14:paraId="30BC0189">
            <w:pPr>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合计：</w:t>
            </w:r>
            <w:r>
              <w:rPr>
                <w:rFonts w:hint="eastAsia" w:ascii="仿宋" w:hAnsi="仿宋" w:eastAsia="仿宋" w:cs="仿宋"/>
                <w:i w:val="0"/>
                <w:iCs w:val="0"/>
                <w:color w:val="000000"/>
                <w:kern w:val="0"/>
                <w:sz w:val="24"/>
                <w:szCs w:val="24"/>
                <w:u w:val="none"/>
                <w:lang w:val="en-US" w:eastAsia="zh-CN" w:bidi="ar"/>
              </w:rPr>
              <w:t>（小写）人民币：               元（包含招标代理服务等成本）</w:t>
            </w:r>
          </w:p>
          <w:p w14:paraId="6030DA0C">
            <w:pPr>
              <w:ind w:firstLine="720" w:firstLineChars="300"/>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（大写）人民币：                  （包含招标代理服务等成本）</w:t>
            </w:r>
          </w:p>
        </w:tc>
      </w:tr>
    </w:tbl>
    <w:p w14:paraId="32A2BD09">
      <w:pPr>
        <w:spacing w:line="460" w:lineRule="exact"/>
        <w:ind w:firstLine="560"/>
        <w:rPr>
          <w:rFonts w:hint="eastAsia" w:ascii="仿宋" w:hAnsi="仿宋" w:eastAsia="仿宋" w:cs="仿宋"/>
          <w:sz w:val="28"/>
          <w:szCs w:val="24"/>
        </w:rPr>
      </w:pPr>
    </w:p>
    <w:p w14:paraId="7EFD1B69">
      <w:pPr>
        <w:wordWrap w:val="0"/>
        <w:spacing w:line="460" w:lineRule="exact"/>
        <w:ind w:firstLine="560"/>
        <w:jc w:val="right"/>
        <w:rPr>
          <w:rFonts w:hint="eastAsia" w:ascii="仿宋" w:hAnsi="仿宋" w:eastAsia="仿宋" w:cs="仿宋"/>
          <w:sz w:val="28"/>
          <w:szCs w:val="24"/>
        </w:rPr>
      </w:pPr>
      <w:r>
        <w:rPr>
          <w:rFonts w:hint="eastAsia" w:ascii="仿宋" w:hAnsi="仿宋" w:eastAsia="仿宋" w:cs="仿宋"/>
          <w:sz w:val="28"/>
          <w:szCs w:val="24"/>
        </w:rPr>
        <w:t xml:space="preserve">单位名称（盖章）：                        </w:t>
      </w:r>
    </w:p>
    <w:p w14:paraId="5537B3E3">
      <w:pPr>
        <w:wordWrap/>
        <w:spacing w:line="460" w:lineRule="exact"/>
        <w:ind w:firstLine="560"/>
        <w:jc w:val="center"/>
        <w:rPr>
          <w:rFonts w:hint="eastAsia" w:ascii="仿宋" w:hAnsi="仿宋" w:eastAsia="仿宋" w:cs="仿宋"/>
          <w:sz w:val="28"/>
          <w:szCs w:val="24"/>
        </w:rPr>
      </w:pPr>
      <w:r>
        <w:rPr>
          <w:rFonts w:hint="eastAsia" w:ascii="仿宋" w:hAnsi="仿宋" w:eastAsia="仿宋" w:cs="仿宋"/>
          <w:sz w:val="28"/>
          <w:szCs w:val="24"/>
        </w:rPr>
        <w:t>联系电话：</w:t>
      </w:r>
    </w:p>
    <w:p w14:paraId="571AC2D1">
      <w:pPr>
        <w:wordWrap w:val="0"/>
        <w:spacing w:line="460" w:lineRule="exact"/>
        <w:ind w:firstLine="560"/>
        <w:jc w:val="right"/>
        <w:rPr>
          <w:rFonts w:hint="eastAsia" w:ascii="仿宋" w:hAnsi="仿宋" w:eastAsia="仿宋" w:cs="仿宋"/>
          <w:sz w:val="28"/>
          <w:szCs w:val="24"/>
        </w:rPr>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992" w:left="1418" w:header="851" w:footer="992" w:gutter="0"/>
          <w:cols w:space="425" w:num="1"/>
          <w:docGrid w:type="lines" w:linePitch="326" w:charSpace="0"/>
        </w:sectPr>
      </w:pPr>
      <w:r>
        <w:rPr>
          <w:rFonts w:hint="eastAsia" w:ascii="仿宋" w:hAnsi="仿宋" w:eastAsia="仿宋" w:cs="仿宋"/>
          <w:sz w:val="28"/>
          <w:szCs w:val="24"/>
        </w:rPr>
        <w:t>日期：202</w:t>
      </w:r>
      <w:r>
        <w:rPr>
          <w:rFonts w:hint="eastAsia" w:ascii="仿宋" w:hAnsi="仿宋" w:eastAsia="仿宋" w:cs="仿宋"/>
          <w:sz w:val="28"/>
          <w:szCs w:val="24"/>
          <w:lang w:val="en-US" w:eastAsia="zh-CN"/>
        </w:rPr>
        <w:t>5</w:t>
      </w:r>
      <w:r>
        <w:rPr>
          <w:rFonts w:hint="eastAsia" w:ascii="仿宋" w:hAnsi="仿宋" w:eastAsia="仿宋" w:cs="仿宋"/>
          <w:sz w:val="28"/>
          <w:szCs w:val="24"/>
        </w:rPr>
        <w:t>年</w:t>
      </w:r>
      <w:r>
        <w:rPr>
          <w:rFonts w:hint="eastAsia" w:ascii="仿宋" w:hAnsi="仿宋" w:eastAsia="仿宋" w:cs="仿宋"/>
          <w:sz w:val="28"/>
          <w:szCs w:val="24"/>
          <w:u w:val="single"/>
        </w:rPr>
        <w:t xml:space="preserve">    </w:t>
      </w:r>
      <w:r>
        <w:rPr>
          <w:rFonts w:hint="eastAsia" w:ascii="仿宋" w:hAnsi="仿宋" w:eastAsia="仿宋" w:cs="仿宋"/>
          <w:sz w:val="28"/>
          <w:szCs w:val="24"/>
        </w:rPr>
        <w:t>月</w:t>
      </w:r>
      <w:r>
        <w:rPr>
          <w:rFonts w:hint="eastAsia" w:ascii="仿宋" w:hAnsi="仿宋" w:eastAsia="仿宋" w:cs="仿宋"/>
          <w:sz w:val="28"/>
          <w:szCs w:val="24"/>
          <w:u w:val="single"/>
        </w:rPr>
        <w:t xml:space="preserve">    </w:t>
      </w:r>
      <w:r>
        <w:rPr>
          <w:rFonts w:hint="eastAsia" w:ascii="仿宋" w:hAnsi="仿宋" w:eastAsia="仿宋" w:cs="仿宋"/>
          <w:sz w:val="28"/>
          <w:szCs w:val="24"/>
        </w:rPr>
        <w:t xml:space="preserve">日  </w:t>
      </w:r>
    </w:p>
    <w:p w14:paraId="021EC9CC">
      <w:pPr>
        <w:spacing w:line="460" w:lineRule="exact"/>
        <w:ind w:left="0" w:leftChars="0" w:firstLine="0" w:firstLineChars="0"/>
        <w:jc w:val="left"/>
        <w:rPr>
          <w:rFonts w:hint="eastAsia" w:ascii="仿宋" w:hAnsi="仿宋" w:eastAsia="仿宋" w:cs="仿宋"/>
          <w:sz w:val="32"/>
          <w:szCs w:val="32"/>
        </w:rPr>
      </w:pPr>
      <w:r>
        <w:rPr>
          <w:rFonts w:hint="eastAsia" w:ascii="仿宋" w:hAnsi="仿宋" w:eastAsia="仿宋" w:cs="仿宋"/>
          <w:sz w:val="32"/>
          <w:szCs w:val="32"/>
        </w:rPr>
        <w:t>附件2</w:t>
      </w:r>
    </w:p>
    <w:p w14:paraId="5B05C57E">
      <w:pPr>
        <w:ind w:firstLine="1285" w:firstLineChars="400"/>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广惠院区皮肤科药浴室改造项目需求清单</w:t>
      </w:r>
    </w:p>
    <w:p w14:paraId="2D952D35">
      <w:pPr>
        <w:ind w:firstLine="1680" w:firstLineChars="700"/>
        <w:rPr>
          <w:rFonts w:hint="eastAsia" w:ascii="仿宋" w:hAnsi="仿宋" w:eastAsia="仿宋" w:cs="仿宋"/>
          <w:sz w:val="24"/>
          <w:szCs w:val="32"/>
          <w:lang w:val="en-US" w:eastAsia="zh-CN"/>
        </w:rPr>
      </w:pPr>
    </w:p>
    <w:tbl>
      <w:tblPr>
        <w:tblStyle w:val="7"/>
        <w:tblW w:w="745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1"/>
        <w:gridCol w:w="4319"/>
        <w:gridCol w:w="916"/>
        <w:gridCol w:w="1410"/>
      </w:tblGrid>
      <w:tr w14:paraId="57D8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11" w:type="dxa"/>
            <w:vMerge w:val="restart"/>
            <w:shd w:val="clear" w:color="auto" w:fill="auto"/>
            <w:vAlign w:val="center"/>
          </w:tcPr>
          <w:p w14:paraId="2951392E">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4319" w:type="dxa"/>
            <w:vMerge w:val="restart"/>
            <w:shd w:val="clear" w:color="auto" w:fill="auto"/>
            <w:vAlign w:val="center"/>
          </w:tcPr>
          <w:p w14:paraId="0119B3FA">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分部、分项工程名称：</w:t>
            </w:r>
          </w:p>
        </w:tc>
        <w:tc>
          <w:tcPr>
            <w:tcW w:w="916" w:type="dxa"/>
            <w:vMerge w:val="restart"/>
            <w:shd w:val="clear" w:color="auto" w:fill="auto"/>
            <w:vAlign w:val="center"/>
          </w:tcPr>
          <w:p w14:paraId="7D7410AD">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1410" w:type="dxa"/>
            <w:vMerge w:val="restart"/>
            <w:shd w:val="clear" w:color="auto" w:fill="auto"/>
            <w:vAlign w:val="center"/>
          </w:tcPr>
          <w:p w14:paraId="115DC477">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工程量</w:t>
            </w:r>
          </w:p>
        </w:tc>
      </w:tr>
      <w:tr w14:paraId="1D09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1" w:type="dxa"/>
            <w:vMerge w:val="continue"/>
            <w:shd w:val="clear" w:color="auto" w:fill="auto"/>
            <w:vAlign w:val="center"/>
          </w:tcPr>
          <w:p w14:paraId="05694701">
            <w:pPr>
              <w:jc w:val="center"/>
              <w:rPr>
                <w:rFonts w:hint="eastAsia" w:ascii="仿宋" w:hAnsi="仿宋" w:eastAsia="仿宋" w:cs="仿宋"/>
                <w:b/>
                <w:bCs/>
                <w:i w:val="0"/>
                <w:iCs w:val="0"/>
                <w:color w:val="000000"/>
                <w:sz w:val="28"/>
                <w:szCs w:val="28"/>
                <w:u w:val="none"/>
              </w:rPr>
            </w:pPr>
          </w:p>
        </w:tc>
        <w:tc>
          <w:tcPr>
            <w:tcW w:w="4319" w:type="dxa"/>
            <w:vMerge w:val="continue"/>
            <w:shd w:val="clear" w:color="auto" w:fill="auto"/>
            <w:vAlign w:val="center"/>
          </w:tcPr>
          <w:p w14:paraId="749C3070">
            <w:pPr>
              <w:jc w:val="left"/>
              <w:rPr>
                <w:rFonts w:hint="eastAsia" w:ascii="仿宋" w:hAnsi="仿宋" w:eastAsia="仿宋" w:cs="仿宋"/>
                <w:b/>
                <w:bCs/>
                <w:i w:val="0"/>
                <w:iCs w:val="0"/>
                <w:color w:val="000000"/>
                <w:sz w:val="28"/>
                <w:szCs w:val="28"/>
                <w:u w:val="none"/>
              </w:rPr>
            </w:pPr>
          </w:p>
        </w:tc>
        <w:tc>
          <w:tcPr>
            <w:tcW w:w="916" w:type="dxa"/>
            <w:vMerge w:val="continue"/>
            <w:shd w:val="clear" w:color="auto" w:fill="auto"/>
            <w:vAlign w:val="center"/>
          </w:tcPr>
          <w:p w14:paraId="6D12B5BC">
            <w:pPr>
              <w:jc w:val="center"/>
              <w:rPr>
                <w:rFonts w:hint="eastAsia" w:ascii="仿宋" w:hAnsi="仿宋" w:eastAsia="仿宋" w:cs="仿宋"/>
                <w:b/>
                <w:bCs/>
                <w:i w:val="0"/>
                <w:iCs w:val="0"/>
                <w:color w:val="000000"/>
                <w:sz w:val="28"/>
                <w:szCs w:val="28"/>
                <w:u w:val="none"/>
              </w:rPr>
            </w:pPr>
          </w:p>
        </w:tc>
        <w:tc>
          <w:tcPr>
            <w:tcW w:w="1410" w:type="dxa"/>
            <w:vMerge w:val="continue"/>
            <w:shd w:val="clear" w:color="auto" w:fill="auto"/>
            <w:vAlign w:val="center"/>
          </w:tcPr>
          <w:p w14:paraId="479F2CEF">
            <w:pPr>
              <w:jc w:val="center"/>
              <w:rPr>
                <w:rFonts w:hint="eastAsia" w:ascii="仿宋" w:hAnsi="仿宋" w:eastAsia="仿宋" w:cs="仿宋"/>
                <w:b/>
                <w:bCs/>
                <w:i w:val="0"/>
                <w:iCs w:val="0"/>
                <w:color w:val="000000"/>
                <w:sz w:val="28"/>
                <w:szCs w:val="28"/>
                <w:u w:val="none"/>
              </w:rPr>
            </w:pPr>
          </w:p>
        </w:tc>
      </w:tr>
      <w:tr w14:paraId="478D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11" w:type="dxa"/>
            <w:shd w:val="clear" w:color="auto" w:fill="auto"/>
            <w:vAlign w:val="center"/>
          </w:tcPr>
          <w:p w14:paraId="43A40BF2">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w:t>
            </w:r>
          </w:p>
        </w:tc>
        <w:tc>
          <w:tcPr>
            <w:tcW w:w="4319" w:type="dxa"/>
            <w:shd w:val="clear" w:color="auto" w:fill="auto"/>
            <w:vAlign w:val="center"/>
          </w:tcPr>
          <w:p w14:paraId="137FFD81">
            <w:pPr>
              <w:keepNext w:val="0"/>
              <w:keepLines w:val="0"/>
              <w:widowControl/>
              <w:suppressLineNumbers w:val="0"/>
              <w:jc w:val="left"/>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拆除卫生间</w:t>
            </w:r>
          </w:p>
        </w:tc>
        <w:tc>
          <w:tcPr>
            <w:tcW w:w="916" w:type="dxa"/>
            <w:shd w:val="clear" w:color="auto" w:fill="auto"/>
            <w:noWrap/>
            <w:vAlign w:val="center"/>
          </w:tcPr>
          <w:p w14:paraId="2B57A4F3">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项</w:t>
            </w:r>
          </w:p>
        </w:tc>
        <w:tc>
          <w:tcPr>
            <w:tcW w:w="1410" w:type="dxa"/>
            <w:shd w:val="clear" w:color="auto" w:fill="auto"/>
            <w:noWrap/>
            <w:vAlign w:val="center"/>
          </w:tcPr>
          <w:p w14:paraId="6DA0C85E">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w:t>
            </w:r>
          </w:p>
        </w:tc>
      </w:tr>
      <w:tr w14:paraId="7641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11" w:type="dxa"/>
            <w:shd w:val="clear" w:color="auto" w:fill="auto"/>
            <w:vAlign w:val="center"/>
          </w:tcPr>
          <w:p w14:paraId="00EB7EE0">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2</w:t>
            </w:r>
          </w:p>
        </w:tc>
        <w:tc>
          <w:tcPr>
            <w:tcW w:w="4319" w:type="dxa"/>
            <w:shd w:val="clear" w:color="auto" w:fill="auto"/>
            <w:vAlign w:val="center"/>
          </w:tcPr>
          <w:p w14:paraId="1FDF63E6">
            <w:pPr>
              <w:keepNext w:val="0"/>
              <w:keepLines w:val="0"/>
              <w:widowControl/>
              <w:suppressLineNumbers w:val="0"/>
              <w:jc w:val="left"/>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拆除墙砖</w:t>
            </w:r>
          </w:p>
        </w:tc>
        <w:tc>
          <w:tcPr>
            <w:tcW w:w="916" w:type="dxa"/>
            <w:shd w:val="clear" w:color="auto" w:fill="auto"/>
            <w:noWrap/>
            <w:vAlign w:val="center"/>
          </w:tcPr>
          <w:p w14:paraId="4686DC70">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w:t>
            </w:r>
          </w:p>
        </w:tc>
        <w:tc>
          <w:tcPr>
            <w:tcW w:w="1410" w:type="dxa"/>
            <w:shd w:val="clear" w:color="auto" w:fill="auto"/>
            <w:noWrap/>
            <w:vAlign w:val="center"/>
          </w:tcPr>
          <w:p w14:paraId="3CA6D91A">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27.84</w:t>
            </w:r>
          </w:p>
        </w:tc>
      </w:tr>
      <w:tr w14:paraId="4426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1" w:type="dxa"/>
            <w:shd w:val="clear" w:color="auto" w:fill="auto"/>
            <w:vAlign w:val="center"/>
          </w:tcPr>
          <w:p w14:paraId="79821ED4">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3</w:t>
            </w:r>
          </w:p>
        </w:tc>
        <w:tc>
          <w:tcPr>
            <w:tcW w:w="4319" w:type="dxa"/>
            <w:shd w:val="clear" w:color="auto" w:fill="auto"/>
            <w:vAlign w:val="center"/>
          </w:tcPr>
          <w:p w14:paraId="4D83BD1E">
            <w:pPr>
              <w:keepNext w:val="0"/>
              <w:keepLines w:val="0"/>
              <w:widowControl/>
              <w:suppressLineNumbers w:val="0"/>
              <w:jc w:val="left"/>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拆除吊顶</w:t>
            </w:r>
          </w:p>
        </w:tc>
        <w:tc>
          <w:tcPr>
            <w:tcW w:w="916" w:type="dxa"/>
            <w:shd w:val="clear" w:color="auto" w:fill="auto"/>
            <w:noWrap/>
            <w:vAlign w:val="center"/>
          </w:tcPr>
          <w:p w14:paraId="088B9C13">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w:t>
            </w:r>
          </w:p>
        </w:tc>
        <w:tc>
          <w:tcPr>
            <w:tcW w:w="1410" w:type="dxa"/>
            <w:shd w:val="clear" w:color="auto" w:fill="auto"/>
            <w:noWrap/>
            <w:vAlign w:val="center"/>
          </w:tcPr>
          <w:p w14:paraId="2456C0EE">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21.7</w:t>
            </w:r>
          </w:p>
        </w:tc>
      </w:tr>
      <w:tr w14:paraId="7B72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11" w:type="dxa"/>
            <w:shd w:val="clear" w:color="auto" w:fill="auto"/>
            <w:vAlign w:val="center"/>
          </w:tcPr>
          <w:p w14:paraId="37745E96">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4</w:t>
            </w:r>
          </w:p>
        </w:tc>
        <w:tc>
          <w:tcPr>
            <w:tcW w:w="4319" w:type="dxa"/>
            <w:shd w:val="clear" w:color="auto" w:fill="auto"/>
            <w:vAlign w:val="center"/>
          </w:tcPr>
          <w:p w14:paraId="4926CB59">
            <w:pPr>
              <w:keepNext w:val="0"/>
              <w:keepLines w:val="0"/>
              <w:widowControl/>
              <w:suppressLineNumbers w:val="0"/>
              <w:jc w:val="left"/>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新铺地砖</w:t>
            </w:r>
          </w:p>
        </w:tc>
        <w:tc>
          <w:tcPr>
            <w:tcW w:w="916" w:type="dxa"/>
            <w:shd w:val="clear" w:color="auto" w:fill="auto"/>
            <w:noWrap/>
            <w:vAlign w:val="center"/>
          </w:tcPr>
          <w:p w14:paraId="5A922F72">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w:t>
            </w:r>
          </w:p>
        </w:tc>
        <w:tc>
          <w:tcPr>
            <w:tcW w:w="1410" w:type="dxa"/>
            <w:shd w:val="clear" w:color="auto" w:fill="auto"/>
            <w:noWrap/>
            <w:vAlign w:val="center"/>
          </w:tcPr>
          <w:p w14:paraId="7569BCA9">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22.4</w:t>
            </w:r>
          </w:p>
        </w:tc>
      </w:tr>
      <w:tr w14:paraId="62FF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11" w:type="dxa"/>
            <w:shd w:val="clear" w:color="auto" w:fill="auto"/>
            <w:vAlign w:val="center"/>
          </w:tcPr>
          <w:p w14:paraId="5D698ED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5</w:t>
            </w:r>
          </w:p>
        </w:tc>
        <w:tc>
          <w:tcPr>
            <w:tcW w:w="4319" w:type="dxa"/>
            <w:shd w:val="clear" w:color="auto" w:fill="auto"/>
            <w:vAlign w:val="center"/>
          </w:tcPr>
          <w:p w14:paraId="3E84DBA0">
            <w:pPr>
              <w:keepNext w:val="0"/>
              <w:keepLines w:val="0"/>
              <w:widowControl/>
              <w:suppressLineNumbers w:val="0"/>
              <w:jc w:val="both"/>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新作地台</w:t>
            </w:r>
          </w:p>
        </w:tc>
        <w:tc>
          <w:tcPr>
            <w:tcW w:w="916" w:type="dxa"/>
            <w:shd w:val="clear" w:color="auto" w:fill="auto"/>
            <w:noWrap/>
            <w:vAlign w:val="center"/>
          </w:tcPr>
          <w:p w14:paraId="52B1DAF2">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m³</w:t>
            </w:r>
          </w:p>
        </w:tc>
        <w:tc>
          <w:tcPr>
            <w:tcW w:w="1410" w:type="dxa"/>
            <w:shd w:val="clear" w:color="auto" w:fill="auto"/>
            <w:noWrap/>
            <w:vAlign w:val="center"/>
          </w:tcPr>
          <w:p w14:paraId="181C0CC5">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3.15</w:t>
            </w:r>
          </w:p>
        </w:tc>
      </w:tr>
      <w:tr w14:paraId="3180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shd w:val="clear" w:color="auto" w:fill="auto"/>
            <w:vAlign w:val="center"/>
          </w:tcPr>
          <w:p w14:paraId="293D05D4">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6</w:t>
            </w:r>
          </w:p>
        </w:tc>
        <w:tc>
          <w:tcPr>
            <w:tcW w:w="4319" w:type="dxa"/>
            <w:shd w:val="clear" w:color="auto" w:fill="auto"/>
            <w:vAlign w:val="center"/>
          </w:tcPr>
          <w:p w14:paraId="6A5B2F26">
            <w:pPr>
              <w:keepNext w:val="0"/>
              <w:keepLines w:val="0"/>
              <w:widowControl/>
              <w:suppressLineNumbers w:val="0"/>
              <w:jc w:val="left"/>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新铺墙砖</w:t>
            </w:r>
          </w:p>
        </w:tc>
        <w:tc>
          <w:tcPr>
            <w:tcW w:w="916" w:type="dxa"/>
            <w:shd w:val="clear" w:color="auto" w:fill="auto"/>
            <w:noWrap/>
            <w:vAlign w:val="center"/>
          </w:tcPr>
          <w:p w14:paraId="5588B1D8">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w:t>
            </w:r>
          </w:p>
        </w:tc>
        <w:tc>
          <w:tcPr>
            <w:tcW w:w="1410" w:type="dxa"/>
            <w:shd w:val="clear" w:color="auto" w:fill="auto"/>
            <w:noWrap/>
            <w:vAlign w:val="center"/>
          </w:tcPr>
          <w:p w14:paraId="13FE1CE5">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51.38</w:t>
            </w:r>
          </w:p>
        </w:tc>
      </w:tr>
      <w:tr w14:paraId="73BE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shd w:val="clear" w:color="auto" w:fill="auto"/>
            <w:vAlign w:val="center"/>
          </w:tcPr>
          <w:p w14:paraId="4DECF3B5">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7</w:t>
            </w:r>
          </w:p>
        </w:tc>
        <w:tc>
          <w:tcPr>
            <w:tcW w:w="4319" w:type="dxa"/>
            <w:shd w:val="clear" w:color="auto" w:fill="auto"/>
            <w:vAlign w:val="center"/>
          </w:tcPr>
          <w:p w14:paraId="44B041C1">
            <w:pPr>
              <w:keepNext w:val="0"/>
              <w:keepLines w:val="0"/>
              <w:widowControl/>
              <w:suppressLineNumbers w:val="0"/>
              <w:jc w:val="left"/>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新作防水</w:t>
            </w:r>
          </w:p>
        </w:tc>
        <w:tc>
          <w:tcPr>
            <w:tcW w:w="916" w:type="dxa"/>
            <w:shd w:val="clear" w:color="auto" w:fill="auto"/>
            <w:noWrap/>
            <w:vAlign w:val="center"/>
          </w:tcPr>
          <w:p w14:paraId="3EE9B16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lang w:val="en-US" w:eastAsia="zh-CN"/>
              </w:rPr>
              <w:t>㎡</w:t>
            </w:r>
          </w:p>
        </w:tc>
        <w:tc>
          <w:tcPr>
            <w:tcW w:w="1410" w:type="dxa"/>
            <w:shd w:val="clear" w:color="auto" w:fill="auto"/>
            <w:noWrap/>
            <w:vAlign w:val="center"/>
          </w:tcPr>
          <w:p w14:paraId="6FD6BE7E">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52</w:t>
            </w:r>
          </w:p>
        </w:tc>
      </w:tr>
      <w:tr w14:paraId="1F8F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1" w:type="dxa"/>
            <w:shd w:val="clear" w:color="auto" w:fill="auto"/>
            <w:vAlign w:val="center"/>
          </w:tcPr>
          <w:p w14:paraId="5AF8A839">
            <w:pPr>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8</w:t>
            </w:r>
          </w:p>
        </w:tc>
        <w:tc>
          <w:tcPr>
            <w:tcW w:w="4319" w:type="dxa"/>
            <w:shd w:val="clear" w:color="auto" w:fill="auto"/>
            <w:vAlign w:val="center"/>
          </w:tcPr>
          <w:p w14:paraId="7BF9A4FA">
            <w:pPr>
              <w:keepNext w:val="0"/>
              <w:keepLines w:val="0"/>
              <w:widowControl/>
              <w:suppressLineNumbers w:val="0"/>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新做钢化磨砂玻璃隔断</w:t>
            </w:r>
          </w:p>
        </w:tc>
        <w:tc>
          <w:tcPr>
            <w:tcW w:w="916" w:type="dxa"/>
            <w:shd w:val="clear" w:color="auto" w:fill="auto"/>
            <w:noWrap/>
            <w:vAlign w:val="center"/>
          </w:tcPr>
          <w:p w14:paraId="1FAD9C02">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w:t>
            </w:r>
          </w:p>
        </w:tc>
        <w:tc>
          <w:tcPr>
            <w:tcW w:w="1410" w:type="dxa"/>
            <w:shd w:val="clear" w:color="auto" w:fill="auto"/>
            <w:vAlign w:val="center"/>
          </w:tcPr>
          <w:p w14:paraId="31EA259F">
            <w:pPr>
              <w:jc w:val="center"/>
              <w:rPr>
                <w:rFonts w:hint="eastAsia" w:ascii="仿宋" w:hAnsi="仿宋" w:eastAsia="仿宋" w:cs="仿宋"/>
                <w:b/>
                <w:bCs/>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21</w:t>
            </w:r>
          </w:p>
        </w:tc>
      </w:tr>
      <w:tr w14:paraId="138E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11" w:type="dxa"/>
            <w:shd w:val="clear" w:color="auto" w:fill="auto"/>
            <w:vAlign w:val="center"/>
          </w:tcPr>
          <w:p w14:paraId="3385B2E3">
            <w:pPr>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9</w:t>
            </w:r>
          </w:p>
        </w:tc>
        <w:tc>
          <w:tcPr>
            <w:tcW w:w="4319" w:type="dxa"/>
            <w:shd w:val="clear" w:color="auto" w:fill="auto"/>
            <w:vAlign w:val="center"/>
          </w:tcPr>
          <w:p w14:paraId="170BB95A">
            <w:pPr>
              <w:keepNext w:val="0"/>
              <w:keepLines w:val="0"/>
              <w:widowControl/>
              <w:suppressLineNumbers w:val="0"/>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新做600*600铝扣板吊顶（0.8MM厚，含600*600LED灯2个）</w:t>
            </w:r>
          </w:p>
        </w:tc>
        <w:tc>
          <w:tcPr>
            <w:tcW w:w="916" w:type="dxa"/>
            <w:shd w:val="clear" w:color="auto" w:fill="auto"/>
            <w:noWrap/>
            <w:vAlign w:val="center"/>
          </w:tcPr>
          <w:p w14:paraId="3C5D310C">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w:t>
            </w:r>
          </w:p>
        </w:tc>
        <w:tc>
          <w:tcPr>
            <w:tcW w:w="1410" w:type="dxa"/>
            <w:shd w:val="clear" w:color="auto" w:fill="auto"/>
            <w:vAlign w:val="center"/>
          </w:tcPr>
          <w:p w14:paraId="30374F7A">
            <w:pPr>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21.7</w:t>
            </w:r>
          </w:p>
        </w:tc>
      </w:tr>
      <w:tr w14:paraId="3CDB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11" w:type="dxa"/>
            <w:shd w:val="clear" w:color="auto" w:fill="auto"/>
            <w:vAlign w:val="center"/>
          </w:tcPr>
          <w:p w14:paraId="3C18A6D4">
            <w:pPr>
              <w:keepNext w:val="0"/>
              <w:keepLines w:val="0"/>
              <w:widowControl/>
              <w:suppressLineNumbers w:val="0"/>
              <w:jc w:val="center"/>
              <w:textAlignment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10</w:t>
            </w:r>
          </w:p>
        </w:tc>
        <w:tc>
          <w:tcPr>
            <w:tcW w:w="4319" w:type="dxa"/>
            <w:shd w:val="clear" w:color="auto" w:fill="auto"/>
            <w:vAlign w:val="center"/>
          </w:tcPr>
          <w:p w14:paraId="0E77F821">
            <w:pPr>
              <w:keepNext w:val="0"/>
              <w:keepLines w:val="0"/>
              <w:widowControl/>
              <w:suppressLineNumbers w:val="0"/>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 xml:space="preserve">给排水安装（含管道及配件） </w:t>
            </w:r>
          </w:p>
        </w:tc>
        <w:tc>
          <w:tcPr>
            <w:tcW w:w="916" w:type="dxa"/>
            <w:shd w:val="clear" w:color="auto" w:fill="auto"/>
            <w:noWrap/>
            <w:vAlign w:val="center"/>
          </w:tcPr>
          <w:p w14:paraId="4F276972">
            <w:pPr>
              <w:keepNext w:val="0"/>
              <w:keepLines w:val="0"/>
              <w:widowControl/>
              <w:suppressLineNumbers w:val="0"/>
              <w:tabs>
                <w:tab w:val="center" w:pos="350"/>
              </w:tabs>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项</w:t>
            </w:r>
          </w:p>
        </w:tc>
        <w:tc>
          <w:tcPr>
            <w:tcW w:w="1410" w:type="dxa"/>
            <w:shd w:val="clear" w:color="auto" w:fill="auto"/>
            <w:vAlign w:val="center"/>
          </w:tcPr>
          <w:p w14:paraId="028B249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w:t>
            </w:r>
          </w:p>
        </w:tc>
      </w:tr>
      <w:tr w14:paraId="1BCD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1" w:type="dxa"/>
            <w:shd w:val="clear" w:color="auto" w:fill="auto"/>
            <w:vAlign w:val="center"/>
          </w:tcPr>
          <w:p w14:paraId="7D739E65">
            <w:pPr>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11</w:t>
            </w:r>
          </w:p>
        </w:tc>
        <w:tc>
          <w:tcPr>
            <w:tcW w:w="4319" w:type="dxa"/>
            <w:shd w:val="clear" w:color="auto" w:fill="auto"/>
            <w:vAlign w:val="center"/>
          </w:tcPr>
          <w:p w14:paraId="7DB72CE4">
            <w:pPr>
              <w:keepNext w:val="0"/>
              <w:keepLines w:val="0"/>
              <w:widowControl/>
              <w:suppressLineNumbers w:val="0"/>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热水器热药锅电源线（6平方）</w:t>
            </w:r>
          </w:p>
        </w:tc>
        <w:tc>
          <w:tcPr>
            <w:tcW w:w="916" w:type="dxa"/>
            <w:shd w:val="clear" w:color="auto" w:fill="auto"/>
            <w:noWrap/>
            <w:vAlign w:val="center"/>
          </w:tcPr>
          <w:p w14:paraId="2A565A4E">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M</w:t>
            </w:r>
          </w:p>
        </w:tc>
        <w:tc>
          <w:tcPr>
            <w:tcW w:w="1410" w:type="dxa"/>
            <w:shd w:val="clear" w:color="auto" w:fill="auto"/>
            <w:vAlign w:val="center"/>
          </w:tcPr>
          <w:p w14:paraId="07AC08E9">
            <w:pPr>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200</w:t>
            </w:r>
          </w:p>
        </w:tc>
      </w:tr>
      <w:tr w14:paraId="2E8F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trPr>
        <w:tc>
          <w:tcPr>
            <w:tcW w:w="811" w:type="dxa"/>
            <w:shd w:val="clear" w:color="auto" w:fill="auto"/>
            <w:vAlign w:val="center"/>
          </w:tcPr>
          <w:p w14:paraId="6731F050">
            <w:pPr>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12</w:t>
            </w:r>
          </w:p>
        </w:tc>
        <w:tc>
          <w:tcPr>
            <w:tcW w:w="4319" w:type="dxa"/>
            <w:shd w:val="clear" w:color="auto" w:fill="auto"/>
            <w:vAlign w:val="center"/>
          </w:tcPr>
          <w:p w14:paraId="7CB665B1">
            <w:pPr>
              <w:keepNext w:val="0"/>
              <w:keepLines w:val="0"/>
              <w:widowControl/>
              <w:suppressLineNumbers w:val="0"/>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 xml:space="preserve">电源配件（空开2个.插座3个 开关1个 ） </w:t>
            </w:r>
          </w:p>
        </w:tc>
        <w:tc>
          <w:tcPr>
            <w:tcW w:w="916" w:type="dxa"/>
            <w:shd w:val="clear" w:color="auto" w:fill="auto"/>
            <w:noWrap/>
            <w:vAlign w:val="center"/>
          </w:tcPr>
          <w:p w14:paraId="7FA6BC77">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项</w:t>
            </w:r>
          </w:p>
        </w:tc>
        <w:tc>
          <w:tcPr>
            <w:tcW w:w="1410" w:type="dxa"/>
            <w:shd w:val="clear" w:color="auto" w:fill="auto"/>
            <w:vAlign w:val="center"/>
          </w:tcPr>
          <w:p w14:paraId="6352C282">
            <w:pPr>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1</w:t>
            </w:r>
          </w:p>
        </w:tc>
      </w:tr>
      <w:tr w14:paraId="4888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1" w:type="dxa"/>
            <w:shd w:val="clear" w:color="auto" w:fill="auto"/>
            <w:vAlign w:val="center"/>
          </w:tcPr>
          <w:p w14:paraId="382D788D">
            <w:pPr>
              <w:keepNext w:val="0"/>
              <w:keepLines w:val="0"/>
              <w:widowControl/>
              <w:suppressLineNumbers w:val="0"/>
              <w:jc w:val="center"/>
              <w:textAlignment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w:t>
            </w:r>
          </w:p>
        </w:tc>
        <w:tc>
          <w:tcPr>
            <w:tcW w:w="4319" w:type="dxa"/>
            <w:shd w:val="clear" w:color="auto" w:fill="auto"/>
            <w:vAlign w:val="center"/>
          </w:tcPr>
          <w:p w14:paraId="12FA1ADC">
            <w:pPr>
              <w:keepNext w:val="0"/>
              <w:keepLines w:val="0"/>
              <w:widowControl/>
              <w:suppressLineNumbers w:val="0"/>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垃圾外运</w:t>
            </w:r>
          </w:p>
        </w:tc>
        <w:tc>
          <w:tcPr>
            <w:tcW w:w="916" w:type="dxa"/>
            <w:shd w:val="clear" w:color="auto" w:fill="auto"/>
            <w:noWrap/>
            <w:vAlign w:val="center"/>
          </w:tcPr>
          <w:p w14:paraId="6E427AE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i w:val="0"/>
                <w:iCs w:val="0"/>
                <w:color w:val="000000"/>
                <w:sz w:val="28"/>
                <w:szCs w:val="28"/>
                <w:u w:val="none"/>
                <w:lang w:val="en-US" w:eastAsia="zh-CN"/>
              </w:rPr>
              <w:t>项</w:t>
            </w:r>
          </w:p>
        </w:tc>
        <w:tc>
          <w:tcPr>
            <w:tcW w:w="1410" w:type="dxa"/>
            <w:shd w:val="clear" w:color="auto" w:fill="auto"/>
            <w:vAlign w:val="center"/>
          </w:tcPr>
          <w:p w14:paraId="3CB7ACC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sz w:val="28"/>
                <w:szCs w:val="28"/>
                <w:u w:val="none"/>
                <w:lang w:val="en-US" w:eastAsia="zh-CN"/>
              </w:rPr>
              <w:t>1</w:t>
            </w:r>
          </w:p>
        </w:tc>
      </w:tr>
    </w:tbl>
    <w:p w14:paraId="319E4BB8">
      <w:pPr>
        <w:rPr>
          <w:rFonts w:hint="eastAsia" w:ascii="仿宋" w:hAnsi="仿宋" w:eastAsia="仿宋" w:cs="仿宋"/>
        </w:rPr>
        <w:sectPr>
          <w:pgSz w:w="11906" w:h="16838"/>
          <w:pgMar w:top="1440" w:right="1800" w:bottom="1440" w:left="1800" w:header="851" w:footer="992" w:gutter="0"/>
          <w:cols w:space="425" w:num="1"/>
          <w:docGrid w:type="lines" w:linePitch="312" w:charSpace="0"/>
        </w:sectPr>
      </w:pPr>
    </w:p>
    <w:p w14:paraId="1CCED2A9">
      <w:pPr>
        <w:keepNext w:val="0"/>
        <w:keepLines w:val="0"/>
        <w:pageBreakBefore w:val="0"/>
        <w:kinsoku/>
        <w:wordWrap/>
        <w:overflowPunct/>
        <w:topLinePunct w:val="0"/>
        <w:autoSpaceDE/>
        <w:autoSpaceDN/>
        <w:bidi w:val="0"/>
        <w:adjustRightInd/>
        <w:snapToGrid/>
        <w:ind w:firstLine="560" w:firstLineChars="20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违约责任</w:t>
      </w:r>
    </w:p>
    <w:p w14:paraId="2E8718A0">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乙方未按合同约定日期开工或未按工期完工的，每逾期一日，乙方应按本合同总金额的30%向甲方支付违约金，逾期超过7日的，甲方有权解除合同，并不予支付乙方任何工程款项，因此对甲方造成损失的，乙方还应向甲方进行赔偿。</w:t>
      </w:r>
    </w:p>
    <w:p w14:paraId="021D65F7">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乙方应当按文明施工，安全防护要求进行施工，施工现场的保护由乙方负责，乙方应当缴纳建筑工程一切保险并办理施工人员意外伤害保险。乙方在施工中发生的安全事故，若乙方未缴纳保险或保险额度不足以赔付的，均由乙方承担全部赔偿责任。施工过程中对于乙方所雇用的工人或对任何其他人员造成的损害或赔偿，由乙方自行承担，若因此造成甲方对外赔偿的，甲方有权向乙方追偿因涉此类损害赔偿或与此有关的索赔、诉讼所发生的一切费用。</w:t>
      </w:r>
    </w:p>
    <w:p w14:paraId="3154CD70">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3.乙方提供的货物或施工的工程经甲方验收不合格或因乙方原因导致质量不符合合同要求的，甲方可要求乙方退换货或返工，直到符合约定条件。退货或返工产生的费用由乙方承担，且工期不予顺延。乙方交付的货物或工程无法通过返修修复的或工程存在瑕疵导致修复不能的或经二次返修仍不能达到使用状态的或已完工程明显不符合合同质量标准且在甲方提出后不能改进的，甲方有权解除合同。甲方解除协议的，乙方应向甲方支付合同总金额30%的违约金。同时因此而造成的全部责任、损失及费用由乙方承担。任何一方无正当理由单方解除本合同，则应向对方支付合同总价30%的违约金，并赔偿对方因此遭受的全部损失。              </w:t>
      </w:r>
    </w:p>
    <w:p w14:paraId="64B1FA5A">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4.甲方验收合格并不免除乙方对其提供的货物承担产品质量保证责任，若乙方提供的货物存在质量问题从而发生产品质量事故导致任何人身、财产损害，均由乙方承担损害赔偿责任，若因此造成甲方遭受索赔对外进行赔偿的，甲方有权向乙方追偿。</w:t>
      </w:r>
    </w:p>
    <w:p w14:paraId="6094E426">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rPr>
        <w:t>5.任何一方无正当理由单方解除合同，则应向对方支付协议总价30% 的违约金，并赔偿对方因此遭受的全部损失。</w:t>
      </w:r>
    </w:p>
    <w:p w14:paraId="07299A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center"/>
        <w:textAlignment w:val="auto"/>
        <w:rPr>
          <w:rFonts w:hint="eastAsia" w:ascii="仿宋" w:hAnsi="仿宋" w:eastAsia="仿宋" w:cs="仿宋"/>
          <w:sz w:val="28"/>
          <w:szCs w:val="28"/>
        </w:rPr>
      </w:pPr>
      <w:r>
        <w:rPr>
          <w:rStyle w:val="10"/>
          <w:rFonts w:hint="eastAsia" w:ascii="仿宋" w:hAnsi="仿宋" w:eastAsia="仿宋" w:cs="仿宋"/>
          <w:b/>
          <w:bCs/>
          <w:i w:val="0"/>
          <w:iCs w:val="0"/>
          <w:caps w:val="0"/>
          <w:color w:val="000000"/>
          <w:spacing w:val="0"/>
          <w:sz w:val="28"/>
          <w:szCs w:val="28"/>
          <w:shd w:val="clear" w:fill="FFFFFF"/>
        </w:rPr>
        <w:t>验收/服务考核标准及方式</w:t>
      </w:r>
    </w:p>
    <w:p w14:paraId="7E77F23F">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工程质量及验收标准：按照中华人民共和国现行通用的市场规范、验收规范和验收标准执行，各项指标均符合国家、行业及地方主管部门有关的法律法规、标准规范及行业技术要求及双方商定的技术标准；且乙方供应材料及施工质量必须达到合同约定，总务科按照谈判文件响应文件及双方签订的合同进行验收；满足国家、行业、地方主管部门的相关标准、规范、技术、消防及环保的要求，经验收小组验收合格后出具验收结论，甲乙双方签字认可。</w:t>
      </w:r>
    </w:p>
    <w:p w14:paraId="4FA97FC8">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2乙方完工后，应报请甲方进行验收，向甲方提出书面验收申请，甲方收到验收申请后 30个工作日内，由甲方召集乙方等有关部门和人员对本合同项目进行总体验收。总体验收报告须经甲乙双方分别签署意见并盖章确认后生效，所有验收费用由乙方承担。</w:t>
      </w:r>
    </w:p>
    <w:p w14:paraId="6E6E1AA9">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rPr>
        <w:t>3工程量变更：根据《政府采购法》相关规定，甲乙双方在协议履行过程中遇到工程量增加的，甲乙双方应将增加部分的工程款控制在本协议总金额的10%范围内，施工中乙方对工程进行变更的，应经双方协商一致后签订工程签证单，未签订工程签订单的工程变更内容无效且造成甲方损失的乙方应进行赔偿，变更内容优先执行报价清单中的单价，清单中无单价的按照《贵州省建筑与装饰工程计价定额》（2016版）、《贵州省通用安装工程计价定额》（2016版）进行计价。</w:t>
      </w:r>
    </w:p>
    <w:p w14:paraId="40D2490D">
      <w:r>
        <w:rPr>
          <w:rFonts w:hint="eastAsia" w:ascii="仿宋" w:hAnsi="仿宋" w:eastAsia="仿宋" w:cs="仿宋"/>
          <w:b/>
          <w:bCs/>
          <w:color w:val="000000"/>
          <w:sz w:val="28"/>
          <w:szCs w:val="28"/>
        </w:rPr>
        <w:t>付款方式：</w:t>
      </w:r>
      <w:r>
        <w:rPr>
          <w:rFonts w:hint="eastAsia" w:ascii="仿宋" w:hAnsi="仿宋" w:eastAsia="仿宋" w:cs="仿宋"/>
          <w:color w:val="auto"/>
          <w:sz w:val="28"/>
          <w:szCs w:val="28"/>
        </w:rPr>
        <w:t>工程完成并验收合格</w:t>
      </w:r>
      <w:r>
        <w:rPr>
          <w:rFonts w:hint="eastAsia" w:ascii="仿宋" w:hAnsi="仿宋" w:eastAsia="仿宋" w:cs="仿宋"/>
          <w:color w:val="auto"/>
          <w:sz w:val="28"/>
          <w:szCs w:val="28"/>
          <w:lang w:eastAsia="zh-CN"/>
        </w:rPr>
        <w:t>后</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通过</w:t>
      </w:r>
      <w:r>
        <w:rPr>
          <w:rFonts w:hint="eastAsia" w:ascii="仿宋" w:hAnsi="仿宋" w:eastAsia="仿宋" w:cs="仿宋"/>
          <w:color w:val="auto"/>
          <w:sz w:val="28"/>
          <w:szCs w:val="28"/>
          <w:lang w:val="en-US" w:eastAsia="zh-CN"/>
        </w:rPr>
        <w:t>医院审计科或医院指定第三方审计单位</w:t>
      </w:r>
      <w:r>
        <w:rPr>
          <w:rFonts w:hint="eastAsia" w:ascii="仿宋" w:hAnsi="仿宋" w:eastAsia="仿宋" w:cs="仿宋"/>
          <w:color w:val="auto"/>
          <w:sz w:val="28"/>
          <w:szCs w:val="28"/>
        </w:rPr>
        <w:t>审计</w:t>
      </w:r>
      <w:r>
        <w:rPr>
          <w:rFonts w:hint="eastAsia" w:ascii="仿宋" w:hAnsi="仿宋" w:eastAsia="仿宋" w:cs="仿宋"/>
          <w:color w:val="auto"/>
          <w:sz w:val="28"/>
          <w:szCs w:val="28"/>
          <w:lang w:eastAsia="zh-CN"/>
        </w:rPr>
        <w:t>审定</w:t>
      </w:r>
      <w:r>
        <w:rPr>
          <w:rFonts w:hint="eastAsia" w:ascii="仿宋" w:hAnsi="仿宋" w:eastAsia="仿宋" w:cs="仿宋"/>
          <w:color w:val="auto"/>
          <w:sz w:val="28"/>
          <w:szCs w:val="28"/>
        </w:rPr>
        <w:t>后，</w:t>
      </w:r>
      <w:r>
        <w:rPr>
          <w:rFonts w:hint="eastAsia" w:ascii="仿宋" w:hAnsi="仿宋" w:eastAsia="仿宋" w:cs="仿宋"/>
          <w:color w:val="auto"/>
          <w:sz w:val="28"/>
          <w:szCs w:val="28"/>
          <w:lang w:eastAsia="zh-CN"/>
        </w:rPr>
        <w:t>按审定金额付款，</w:t>
      </w:r>
      <w:r>
        <w:rPr>
          <w:rFonts w:hint="eastAsia" w:ascii="仿宋" w:hAnsi="仿宋" w:eastAsia="仿宋" w:cs="仿宋"/>
          <w:color w:val="auto"/>
          <w:sz w:val="28"/>
          <w:szCs w:val="28"/>
        </w:rPr>
        <w:t>甲方收到乙方提供国家正规发票30个日历日内通过转账方式</w:t>
      </w:r>
      <w:r>
        <w:rPr>
          <w:rFonts w:hint="eastAsia" w:ascii="仿宋" w:hAnsi="仿宋" w:eastAsia="仿宋" w:cs="仿宋"/>
          <w:bCs/>
          <w:color w:val="auto"/>
          <w:sz w:val="28"/>
          <w:szCs w:val="28"/>
        </w:rPr>
        <w:t>一次性无息支付给乙方。</w:t>
      </w:r>
    </w:p>
    <w:p w14:paraId="189D532B">
      <w:pPr>
        <w:rPr>
          <w:rFonts w:hint="eastAsia" w:ascii="仿宋" w:hAnsi="仿宋" w:eastAsia="仿宋" w:cs="仿宋"/>
          <w:b w:val="0"/>
          <w:bCs w:val="0"/>
          <w:color w:val="000000"/>
          <w:sz w:val="28"/>
          <w:szCs w:val="28"/>
        </w:rPr>
      </w:pPr>
      <w:r>
        <w:rPr>
          <w:rFonts w:hint="eastAsia" w:ascii="仿宋" w:hAnsi="仿宋" w:eastAsia="仿宋" w:cs="仿宋"/>
          <w:b/>
          <w:bCs/>
          <w:color w:val="000000"/>
          <w:sz w:val="28"/>
          <w:szCs w:val="28"/>
        </w:rPr>
        <w:t>合同履行期限：</w:t>
      </w:r>
      <w:r>
        <w:rPr>
          <w:rFonts w:hint="eastAsia" w:ascii="仿宋" w:hAnsi="仿宋" w:eastAsia="仿宋" w:cs="仿宋"/>
          <w:b w:val="0"/>
          <w:bCs w:val="0"/>
          <w:color w:val="000000"/>
          <w:sz w:val="28"/>
          <w:szCs w:val="28"/>
        </w:rPr>
        <w:t>签订合同之日起30天内完工。</w:t>
      </w:r>
    </w:p>
    <w:p w14:paraId="60D4BA3D">
      <w:pPr>
        <w:rPr>
          <w:rFonts w:hint="eastAsia" w:ascii="仿宋" w:hAnsi="仿宋" w:eastAsia="仿宋" w:cs="仿宋"/>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307994B2-6A01-48A6-9104-15FBB37FBD55}"/>
  </w:font>
  <w:font w:name="仿宋_GB2312">
    <w:altName w:val="仿宋"/>
    <w:panose1 w:val="020106090300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BF2D1">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6D893">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D4962">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7FFC2">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5CB9E">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D0CD">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43E93"/>
    <w:rsid w:val="03EE6B1B"/>
    <w:rsid w:val="08331B60"/>
    <w:rsid w:val="09C60C2E"/>
    <w:rsid w:val="0A726EFC"/>
    <w:rsid w:val="0C9537CF"/>
    <w:rsid w:val="107940B7"/>
    <w:rsid w:val="152F6116"/>
    <w:rsid w:val="1A3E1185"/>
    <w:rsid w:val="1A3E12FC"/>
    <w:rsid w:val="1CC25523"/>
    <w:rsid w:val="1D593316"/>
    <w:rsid w:val="22475D17"/>
    <w:rsid w:val="23ED1676"/>
    <w:rsid w:val="24117BB9"/>
    <w:rsid w:val="26957F90"/>
    <w:rsid w:val="2C5D1D8D"/>
    <w:rsid w:val="34E268A9"/>
    <w:rsid w:val="39187B8F"/>
    <w:rsid w:val="3A3B59BA"/>
    <w:rsid w:val="3A8D72B7"/>
    <w:rsid w:val="3D1E68EC"/>
    <w:rsid w:val="3F3B19D7"/>
    <w:rsid w:val="412F2E76"/>
    <w:rsid w:val="426E79CE"/>
    <w:rsid w:val="46FF32EA"/>
    <w:rsid w:val="61391EE3"/>
    <w:rsid w:val="662B15AE"/>
    <w:rsid w:val="67CA4DF7"/>
    <w:rsid w:val="6D616805"/>
    <w:rsid w:val="6F1875C9"/>
    <w:rsid w:val="70BB79D3"/>
    <w:rsid w:val="77445943"/>
    <w:rsid w:val="77A43E93"/>
    <w:rsid w:val="7BA16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unhideWhenUsed/>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1815</Words>
  <Characters>1938</Characters>
  <Lines>0</Lines>
  <Paragraphs>0</Paragraphs>
  <TotalTime>0</TotalTime>
  <ScaleCrop>false</ScaleCrop>
  <LinksUpToDate>false</LinksUpToDate>
  <CharactersWithSpaces>2051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2025-01-10T02:55:00Z</dcterms:created>
  <dc:creator>代号四幺零</dc:creator>
  <cp:lastModifiedBy>疯子</cp:lastModifiedBy>
  <dcterms:modified xsi:type="dcterms:W3CDTF">2025-09-25T01:42:33Z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D5AF240F252D45F2BE599986D36FECDF_11</vt:lpwstr>
  </property>
  <property fmtid="{D5CDD505-2E9C-101B-9397-08002B2CF9AE}" pid="4" name="KSOTemplateDocerSaveRecord">
    <vt:lpwstr>eyJoZGlkIjoiN2QwZmY0MjljNDc2MzkxYWNkMjliYTE5ZjM1MTZmNTAiLCJ1c2VySWQiOiI1MjM0OTk2MTAifQ==</vt:lpwstr>
  </property>
</Properties>
</file>