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59335616">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浙江省人民医院毕节医院广惠院区病房改造建设项目可行性研究编制报告服务采购项目</w:t>
      </w:r>
    </w:p>
    <w:p w14:paraId="61EBDD40">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广惠院区病房改造建设项目可行性研究编制报告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5C0CD0D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2：采购需求</w:t>
      </w:r>
    </w:p>
    <w:p w14:paraId="6ADC57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1.服务内容</w:t>
      </w:r>
    </w:p>
    <w:p w14:paraId="43EBA2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编制采购方广惠院区病房改造项目的决策评估报告、可行性研究报告、初步设计（含初步概算）、原有建筑安全性检测、原有建筑监测测量测绘等材料，或其他申报立项需要的材料，通过各阶段评估审查工作。</w:t>
      </w:r>
    </w:p>
    <w:p w14:paraId="479BD9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2.项目位置</w:t>
      </w:r>
    </w:p>
    <w:p w14:paraId="432BD5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贵州省毕节市七星关区广惠路112号浙江省人民医院毕节医院（毕节市第一人民医院）</w:t>
      </w:r>
    </w:p>
    <w:p w14:paraId="24AA372F">
      <w:pPr>
        <w:keepNext w:val="0"/>
        <w:keepLines w:val="0"/>
        <w:pageBreakBefore w:val="0"/>
        <w:widowControl w:val="0"/>
        <w:numPr>
          <w:ilvl w:val="0"/>
          <w:numId w:val="0"/>
        </w:numPr>
        <w:tabs>
          <w:tab w:val="left" w:pos="617"/>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3.服务结算</w:t>
      </w:r>
    </w:p>
    <w:p w14:paraId="1FB5E6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决策评估按照《贵州省政府投资项目评估论证咨询服务费参考标准》，工程咨询服务费按照《国家计委关于印发建设项目前期工作咨询收费暂行规定的通知(计价格[1999]1283)》，设计服务费按照《工程勘察设计收费管理规定》（计价格〔2002〕10号），安全评估及房屋监测测量测绘费根据《&lt;贵州省工程质量检测协会&gt;收费标准》等相关规定，由采购科通过询比下浮率，根据实际工程费核算。</w:t>
      </w:r>
    </w:p>
    <w:p w14:paraId="2DD1322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4.项目要求</w:t>
      </w:r>
    </w:p>
    <w:p w14:paraId="79D3F6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4.1中标方须派工作人员进入项目地点驻场工作，人数不得低于20人，驻场工作人员必须保持24小时电话畅通，无条件配合采购方各项需求的调查研判、材料收集、资料编辑等工作。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参与本次询价活动，需提供该项要求证明材料，否则视为无效报价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14:paraId="590F5E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4.2中标方须全面收集项目相关资料，包括但不限于房屋原始图纸、安全鉴定报告、建筑监测测量测绘材料、地质勘察报告、周边环境信息、城市规划要求、政策法规文件等。</w:t>
      </w:r>
    </w:p>
    <w:p w14:paraId="657A6A1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4.3中标方须从技术层面，对旧房结构安全性进行评估，提出合理改造方案，涵盖结构加固、建筑节能、给排水系统、电气系统、消防设施等改造建议，并确保技术方案符合现行规范标准，具备可操作性与先进性。</w:t>
      </w:r>
    </w:p>
    <w:p w14:paraId="5F2A56C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4.4中标方须进行详细投资估算，包括工程费用（建筑工程费、设备购置及安装费等）、工程建设其他费用（设计费、监理费等）、预备费等，明确资金来源与资金使用计划。</w:t>
      </w:r>
    </w:p>
    <w:p w14:paraId="5EC85DF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4.5中标方对项目进行财务评价，分析成本效益，计算投资回收期、内部收益率等关键经济指标，评估项目盈利能力与偿债能力。</w:t>
      </w:r>
    </w:p>
    <w:p w14:paraId="0B41AA8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4.6中标方须识别项目可能面临的风险，如政策风险、技术风险、资金风险、施工风险等，并提出针对性风险应对措施。      </w:t>
      </w:r>
    </w:p>
    <w:p w14:paraId="6D9641F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4.7中标方须按照国家及地方相关部门要求，编制内容完整、论证充分、格式规范的决策评估报告、可行性研究报告、及初步设计（含概算），为项目决策提供科学依据，并协助采购方进行报告评审、修改调整、项目报审报批等工作。</w:t>
      </w:r>
    </w:p>
    <w:p w14:paraId="6C5CCF3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4.8由中标方承担在中国境内、外发生的与本合同执行有关的一切税费，即合同价的6%。</w:t>
      </w:r>
    </w:p>
    <w:p w14:paraId="02C855B8">
      <w:pPr>
        <w:numPr>
          <w:ilvl w:val="0"/>
          <w:numId w:val="0"/>
        </w:numPr>
        <w:spacing w:line="460" w:lineRule="exact"/>
        <w:ind w:leftChars="200"/>
        <w:jc w:val="left"/>
        <w:rPr>
          <w:rFonts w:hint="default" w:ascii="黑体" w:hAnsi="黑体" w:eastAsia="黑体" w:cs="黑体"/>
          <w:sz w:val="32"/>
          <w:szCs w:val="32"/>
          <w:lang w:val="en-US" w:eastAsia="zh-CN"/>
        </w:rPr>
      </w:pPr>
    </w:p>
    <w:p w14:paraId="5ACD1BA6">
      <w:pPr>
        <w:spacing w:line="460" w:lineRule="exact"/>
        <w:ind w:left="0" w:leftChars="0" w:firstLine="0" w:firstLineChars="0"/>
        <w:jc w:val="left"/>
        <w:rPr>
          <w:rFonts w:hint="eastAsia" w:ascii="黑体" w:hAnsi="黑体" w:eastAsia="黑体" w:cs="黑体"/>
          <w:sz w:val="32"/>
          <w:szCs w:val="32"/>
        </w:rPr>
      </w:pPr>
    </w:p>
    <w:p w14:paraId="054F16EB">
      <w:pPr>
        <w:spacing w:line="460" w:lineRule="exact"/>
        <w:ind w:left="0" w:leftChars="0" w:firstLine="0" w:firstLineChars="0"/>
        <w:jc w:val="left"/>
        <w:rPr>
          <w:rFonts w:hint="eastAsia" w:ascii="黑体" w:hAnsi="黑体" w:eastAsia="黑体" w:cs="黑体"/>
          <w:sz w:val="32"/>
          <w:szCs w:val="32"/>
        </w:rPr>
      </w:pPr>
    </w:p>
    <w:p w14:paraId="192B0405">
      <w:pPr>
        <w:spacing w:line="460" w:lineRule="exact"/>
        <w:ind w:left="0" w:leftChars="0" w:firstLine="0" w:firstLineChars="0"/>
        <w:jc w:val="left"/>
        <w:rPr>
          <w:rFonts w:hint="eastAsia" w:ascii="黑体" w:hAnsi="黑体" w:eastAsia="黑体" w:cs="黑体"/>
          <w:sz w:val="32"/>
          <w:szCs w:val="32"/>
        </w:rPr>
      </w:pPr>
    </w:p>
    <w:p w14:paraId="0C02C514">
      <w:pPr>
        <w:spacing w:line="460" w:lineRule="exact"/>
        <w:ind w:left="0" w:leftChars="0" w:firstLine="0" w:firstLineChars="0"/>
        <w:jc w:val="left"/>
        <w:rPr>
          <w:rFonts w:hint="eastAsia" w:ascii="黑体" w:hAnsi="黑体" w:eastAsia="黑体" w:cs="黑体"/>
          <w:sz w:val="32"/>
          <w:szCs w:val="32"/>
        </w:rPr>
      </w:pPr>
    </w:p>
    <w:p w14:paraId="543B7D4F">
      <w:pPr>
        <w:spacing w:line="460" w:lineRule="exact"/>
        <w:ind w:left="0" w:leftChars="0" w:firstLine="0" w:firstLineChars="0"/>
        <w:jc w:val="left"/>
        <w:rPr>
          <w:rFonts w:hint="eastAsia" w:ascii="黑体" w:hAnsi="黑体" w:eastAsia="黑体" w:cs="黑体"/>
          <w:sz w:val="32"/>
          <w:szCs w:val="32"/>
        </w:rPr>
      </w:pP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7"/>
        <w:ind w:left="0" w:leftChars="0" w:firstLine="0" w:firstLineChars="0"/>
        <w:rPr>
          <w:rFonts w:hint="eastAsia" w:ascii="仿宋" w:hAnsi="仿宋" w:eastAsia="仿宋" w:cs="仿宋"/>
          <w:color w:val="000000"/>
          <w:sz w:val="24"/>
          <w:szCs w:val="24"/>
        </w:rPr>
      </w:pPr>
    </w:p>
    <w:p w14:paraId="645C6964">
      <w:pPr>
        <w:spacing w:line="360" w:lineRule="auto"/>
        <w:ind w:right="26" w:firstLine="1446" w:firstLineChars="600"/>
        <w:jc w:val="both"/>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9"/>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5291"/>
        <w:gridCol w:w="126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4"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5291"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cs="宋体"/>
                <w:b/>
                <w:bCs w:val="0"/>
                <w:sz w:val="24"/>
                <w:szCs w:val="24"/>
                <w:vertAlign w:val="baseline"/>
                <w:lang w:val="en-US" w:eastAsia="zh-CN"/>
              </w:rPr>
              <w:t>报价（下浮率%）</w:t>
            </w:r>
          </w:p>
        </w:tc>
        <w:tc>
          <w:tcPr>
            <w:tcW w:w="126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824" w:type="dxa"/>
          </w:tcPr>
          <w:p w14:paraId="51966BD4">
            <w:pPr>
              <w:spacing w:line="360" w:lineRule="auto"/>
              <w:ind w:right="26"/>
              <w:jc w:val="both"/>
              <w:rPr>
                <w:rFonts w:hint="eastAsia" w:ascii="宋体" w:hAnsi="宋体" w:eastAsia="宋体" w:cs="宋体"/>
                <w:b w:val="0"/>
                <w:bCs/>
                <w:sz w:val="24"/>
                <w:szCs w:val="24"/>
                <w:vertAlign w:val="baseline"/>
              </w:rPr>
            </w:pPr>
          </w:p>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浙江省人民医院毕节医院广惠院区病房改造建设项目可行性研究编制报告服务采购项目</w:t>
            </w:r>
          </w:p>
        </w:tc>
        <w:tc>
          <w:tcPr>
            <w:tcW w:w="5291" w:type="dxa"/>
          </w:tcPr>
          <w:p w14:paraId="61F57BE7">
            <w:pPr>
              <w:spacing w:line="360" w:lineRule="auto"/>
              <w:ind w:right="26"/>
              <w:jc w:val="both"/>
              <w:rPr>
                <w:rFonts w:hint="eastAsia" w:ascii="宋体" w:hAnsi="宋体" w:eastAsia="宋体" w:cs="宋体"/>
                <w:b w:val="0"/>
                <w:bCs/>
                <w:sz w:val="24"/>
                <w:szCs w:val="24"/>
                <w:vertAlign w:val="baseline"/>
              </w:rPr>
            </w:pPr>
          </w:p>
        </w:tc>
        <w:tc>
          <w:tcPr>
            <w:tcW w:w="126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51C3F89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3.决策评估</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按照《贵州省政府投资项目评估论证咨询服务费参考标准》，工程咨询服务费按照《国家计委关于印发建设项目前期工作咨询收费暂行规定的通知(计价格[1999]1283)》，设计服务费按照《工程勘察设计收费管理规定》（计价格〔2002〕10号），安全评估及房屋监测测量测绘费根据《&lt;贵州省工程质量检测协会&gt;收费标准》等相关规定。按下浮率进行报价。</w:t>
      </w:r>
    </w:p>
    <w:p w14:paraId="3CC51D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20" w:firstLineChars="200"/>
        <w:textAlignment w:val="auto"/>
        <w:rPr>
          <w:rFonts w:hint="eastAsia" w:cs="宋体"/>
          <w:szCs w:val="24"/>
        </w:rPr>
      </w:pPr>
    </w:p>
    <w:p w14:paraId="4DC1AD01">
      <w:pPr>
        <w:wordWrap w:val="0"/>
        <w:spacing w:line="460" w:lineRule="exact"/>
        <w:ind w:firstLine="480"/>
        <w:jc w:val="right"/>
        <w:rPr>
          <w:rFonts w:hint="eastAsia" w:cs="宋体"/>
          <w:szCs w:val="24"/>
        </w:rPr>
      </w:pPr>
      <w:bookmarkStart w:id="0" w:name="_GoBack"/>
      <w:bookmarkEnd w:id="0"/>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5B5625-F21F-4512-815E-B9E1C5983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1BB9B97E-F17F-4CF1-9DAE-91961D737725}"/>
  </w:font>
  <w:font w:name="仿宋_GB2312">
    <w:panose1 w:val="02010609030101010101"/>
    <w:charset w:val="86"/>
    <w:family w:val="auto"/>
    <w:pitch w:val="default"/>
    <w:sig w:usb0="00000001" w:usb1="080E0000" w:usb2="00000000" w:usb3="00000000" w:csb0="00040000" w:csb1="00000000"/>
    <w:embedRegular r:id="rId3" w:fontKey="{60A0DB5F-58E9-4DA1-9006-B146BA1335FA}"/>
  </w:font>
  <w:font w:name="仿宋">
    <w:panose1 w:val="02010609060101010101"/>
    <w:charset w:val="86"/>
    <w:family w:val="auto"/>
    <w:pitch w:val="default"/>
    <w:sig w:usb0="800002BF" w:usb1="38CF7CFA" w:usb2="00000016" w:usb3="00000000" w:csb0="00040001" w:csb1="00000000"/>
    <w:embedRegular r:id="rId4" w:fontKey="{367CF79D-49A8-4FC3-87F8-23FFD7E5F4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1D56AF7"/>
    <w:rsid w:val="02E35735"/>
    <w:rsid w:val="03EE6B1B"/>
    <w:rsid w:val="08331B60"/>
    <w:rsid w:val="0857273B"/>
    <w:rsid w:val="08E91129"/>
    <w:rsid w:val="0A726EFC"/>
    <w:rsid w:val="0AD331F1"/>
    <w:rsid w:val="0BD7170D"/>
    <w:rsid w:val="0C9537CF"/>
    <w:rsid w:val="0DE13B1F"/>
    <w:rsid w:val="0E1557C0"/>
    <w:rsid w:val="11D30BC8"/>
    <w:rsid w:val="152F6116"/>
    <w:rsid w:val="15CA22C1"/>
    <w:rsid w:val="16481B85"/>
    <w:rsid w:val="173D5BC2"/>
    <w:rsid w:val="18D53478"/>
    <w:rsid w:val="1A3E1185"/>
    <w:rsid w:val="1A3E12FC"/>
    <w:rsid w:val="1E3E561C"/>
    <w:rsid w:val="22D87DED"/>
    <w:rsid w:val="22F274AE"/>
    <w:rsid w:val="23ED1676"/>
    <w:rsid w:val="24117BB9"/>
    <w:rsid w:val="26957F90"/>
    <w:rsid w:val="2A587A65"/>
    <w:rsid w:val="2B25359B"/>
    <w:rsid w:val="32DF247C"/>
    <w:rsid w:val="34CE2DFE"/>
    <w:rsid w:val="34E268A9"/>
    <w:rsid w:val="34FB0146"/>
    <w:rsid w:val="38A56ADB"/>
    <w:rsid w:val="39187B8F"/>
    <w:rsid w:val="3A3B59BA"/>
    <w:rsid w:val="3A8D72B7"/>
    <w:rsid w:val="3B7D71F1"/>
    <w:rsid w:val="3D1E68EC"/>
    <w:rsid w:val="3F3B19D7"/>
    <w:rsid w:val="3F6B02A7"/>
    <w:rsid w:val="412F2E76"/>
    <w:rsid w:val="41AC2719"/>
    <w:rsid w:val="426E79CE"/>
    <w:rsid w:val="429A4C67"/>
    <w:rsid w:val="442347E8"/>
    <w:rsid w:val="457E43CC"/>
    <w:rsid w:val="45CE624D"/>
    <w:rsid w:val="46FF32EA"/>
    <w:rsid w:val="476B3693"/>
    <w:rsid w:val="4B520A13"/>
    <w:rsid w:val="4BAF3531"/>
    <w:rsid w:val="4D2910C1"/>
    <w:rsid w:val="512E314A"/>
    <w:rsid w:val="53057EDB"/>
    <w:rsid w:val="582232DD"/>
    <w:rsid w:val="5B362B24"/>
    <w:rsid w:val="5EE70DDC"/>
    <w:rsid w:val="606103C9"/>
    <w:rsid w:val="60E115FE"/>
    <w:rsid w:val="623A6737"/>
    <w:rsid w:val="631C34A7"/>
    <w:rsid w:val="662B15AE"/>
    <w:rsid w:val="67CA4DF7"/>
    <w:rsid w:val="698B16CC"/>
    <w:rsid w:val="6F1875C9"/>
    <w:rsid w:val="70BB79D3"/>
    <w:rsid w:val="717817A7"/>
    <w:rsid w:val="722E4900"/>
    <w:rsid w:val="735A1725"/>
    <w:rsid w:val="75380CC4"/>
    <w:rsid w:val="778E7BEF"/>
    <w:rsid w:val="77A43E93"/>
    <w:rsid w:val="78623556"/>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firstLineChars="200"/>
    </w:pPr>
    <w:rPr>
      <w:rFonts w:ascii="Arial" w:hAnsi="Arial"/>
      <w:szCs w:val="20"/>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01"/>
    <w:basedOn w:val="10"/>
    <w:qFormat/>
    <w:uiPriority w:val="0"/>
    <w:rPr>
      <w:rFonts w:ascii="serif" w:hAnsi="serif" w:eastAsia="serif" w:cs="serif"/>
      <w:color w:val="000000"/>
      <w:sz w:val="24"/>
      <w:szCs w:val="24"/>
      <w:u w:val="none"/>
    </w:rPr>
  </w:style>
  <w:style w:type="character" w:customStyle="1" w:styleId="12">
    <w:name w:val="font61"/>
    <w:basedOn w:val="10"/>
    <w:qFormat/>
    <w:uiPriority w:val="0"/>
    <w:rPr>
      <w:rFonts w:hint="eastAsia" w:ascii="宋体" w:hAnsi="宋体" w:eastAsia="宋体" w:cs="宋体"/>
      <w:color w:val="000000"/>
      <w:sz w:val="24"/>
      <w:szCs w:val="24"/>
      <w:u w:val="none"/>
    </w:rPr>
  </w:style>
  <w:style w:type="paragraph" w:customStyle="1" w:styleId="13">
    <w:name w:val="_Style 13"/>
    <w:qFormat/>
    <w:uiPriority w:val="0"/>
    <w:pPr>
      <w:spacing w:before="120" w:after="120" w:line="288" w:lineRule="auto"/>
      <w:ind w:left="0"/>
      <w:jc w:val="left"/>
    </w:pPr>
    <w:rPr>
      <w:rFonts w:ascii="Arial" w:hAnsi="Arial" w:eastAsia="等线" w:cs="Arial"/>
      <w:sz w:val="22"/>
      <w:szCs w:val="22"/>
    </w:rPr>
  </w:style>
  <w:style w:type="paragraph" w:customStyle="1" w:styleId="14">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1447</Words>
  <Characters>1506</Characters>
  <Lines>0</Lines>
  <Paragraphs>0</Paragraphs>
  <TotalTime>1</TotalTime>
  <ScaleCrop>false</ScaleCrop>
  <LinksUpToDate>false</LinksUpToDate>
  <CharactersWithSpaces>1784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2025-09-03T09:18:51Z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