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7F00D">
      <w:pPr>
        <w:jc w:val="both"/>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4EF5EF25">
      <w:pPr>
        <w:jc w:val="both"/>
        <w:rPr>
          <w:rFonts w:hint="eastAsia" w:ascii="宋体" w:hAnsi="宋体" w:eastAsia="宋体" w:cs="宋体"/>
          <w:i w:val="0"/>
          <w:iCs w:val="0"/>
          <w:caps w:val="0"/>
          <w:color w:val="555555"/>
          <w:spacing w:val="0"/>
          <w:sz w:val="24"/>
          <w:szCs w:val="24"/>
          <w:shd w:val="clear" w:fill="FFFFFF"/>
          <w:lang w:val="en-US" w:eastAsia="zh-CN"/>
        </w:rPr>
      </w:pPr>
    </w:p>
    <w:p w14:paraId="20F0D251">
      <w:pPr>
        <w:jc w:val="both"/>
        <w:rPr>
          <w:rFonts w:hint="eastAsia" w:ascii="Times New Roman" w:hAnsi="Times New Roman" w:eastAsia="宋体" w:cs="Times New Roman"/>
          <w:b/>
          <w:bCs/>
          <w:sz w:val="30"/>
          <w:szCs w:val="30"/>
          <w:lang w:val="en-US" w:eastAsia="zh-CN"/>
        </w:rPr>
      </w:pPr>
      <w:r>
        <w:rPr>
          <w:rFonts w:hint="eastAsia" w:ascii="宋体" w:hAnsi="宋体" w:eastAsia="宋体" w:cs="宋体"/>
          <w:i w:val="0"/>
          <w:iCs w:val="0"/>
          <w:caps w:val="0"/>
          <w:color w:val="555555"/>
          <w:spacing w:val="0"/>
          <w:sz w:val="24"/>
          <w:szCs w:val="24"/>
          <w:shd w:val="clear" w:fill="FFFFFF"/>
          <w:lang w:val="en-US" w:eastAsia="zh-CN"/>
        </w:rPr>
        <w:t>附件1：</w:t>
      </w:r>
      <w:r>
        <w:rPr>
          <w:rFonts w:hint="eastAsia" w:ascii="Times New Roman" w:hAnsi="Times New Roman" w:eastAsia="宋体" w:cs="Times New Roman"/>
          <w:b/>
          <w:bCs/>
          <w:sz w:val="30"/>
          <w:szCs w:val="30"/>
          <w:lang w:val="en-US" w:eastAsia="zh-CN"/>
        </w:rPr>
        <w:t xml:space="preserve">  </w:t>
      </w:r>
    </w:p>
    <w:p w14:paraId="24AD32D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 xml:space="preserve"> </w:t>
      </w:r>
      <w:r>
        <w:rPr>
          <w:rFonts w:hint="eastAsia" w:ascii="Times New Roman" w:hAnsi="Times New Roman" w:eastAsia="宋体" w:cs="Times New Roman"/>
          <w:b/>
          <w:bCs/>
          <w:sz w:val="30"/>
          <w:szCs w:val="30"/>
          <w:u w:val="single"/>
          <w:lang w:val="en-US" w:eastAsia="zh-CN"/>
        </w:rPr>
        <w:t xml:space="preserve">                             </w:t>
      </w:r>
      <w:r>
        <w:rPr>
          <w:rFonts w:hint="eastAsia" w:ascii="Times New Roman" w:hAnsi="Times New Roman" w:eastAsia="宋体" w:cs="Times New Roman"/>
          <w:b w:val="0"/>
          <w:bCs w:val="0"/>
          <w:sz w:val="30"/>
          <w:szCs w:val="30"/>
          <w:u w:val="single"/>
          <w:lang w:val="en-US" w:eastAsia="zh-CN"/>
        </w:rPr>
        <w:t>（报价单位名称）</w:t>
      </w:r>
      <w:r>
        <w:rPr>
          <w:rFonts w:hint="eastAsia" w:ascii="Times New Roman" w:hAnsi="Times New Roman" w:eastAsia="宋体" w:cs="Times New Roman"/>
          <w:b/>
          <w:bCs/>
          <w:sz w:val="30"/>
          <w:szCs w:val="30"/>
          <w:u w:val="single"/>
          <w:lang w:val="en-US" w:eastAsia="zh-CN"/>
        </w:rPr>
        <w:t>报价单</w:t>
      </w:r>
    </w:p>
    <w:tbl>
      <w:tblPr>
        <w:tblStyle w:val="8"/>
        <w:tblW w:w="899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98"/>
        <w:gridCol w:w="1376"/>
        <w:gridCol w:w="1600"/>
        <w:gridCol w:w="1560"/>
        <w:gridCol w:w="1275"/>
        <w:gridCol w:w="1418"/>
        <w:gridCol w:w="867"/>
      </w:tblGrid>
      <w:tr w14:paraId="1F196E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8" w:type="dxa"/>
            <w:noWrap w:val="0"/>
            <w:vAlign w:val="center"/>
          </w:tcPr>
          <w:p w14:paraId="31716D9A">
            <w:pPr>
              <w:ind w:right="101" w:rightChars="48"/>
              <w:jc w:val="center"/>
              <w:rPr>
                <w:rFonts w:eastAsia="黑体"/>
                <w:b/>
                <w:bCs/>
                <w:szCs w:val="21"/>
              </w:rPr>
            </w:pPr>
            <w:r>
              <w:rPr>
                <w:rFonts w:eastAsia="黑体"/>
                <w:b/>
                <w:bCs/>
                <w:szCs w:val="21"/>
              </w:rPr>
              <w:t>序号</w:t>
            </w:r>
          </w:p>
        </w:tc>
        <w:tc>
          <w:tcPr>
            <w:tcW w:w="1376" w:type="dxa"/>
            <w:noWrap w:val="0"/>
            <w:vAlign w:val="center"/>
          </w:tcPr>
          <w:p w14:paraId="2ED51C65">
            <w:pPr>
              <w:ind w:right="101" w:rightChars="48"/>
              <w:jc w:val="center"/>
              <w:rPr>
                <w:rFonts w:eastAsia="黑体"/>
                <w:b/>
                <w:bCs/>
                <w:szCs w:val="21"/>
              </w:rPr>
            </w:pPr>
            <w:r>
              <w:rPr>
                <w:rFonts w:eastAsia="黑体"/>
                <w:b/>
                <w:bCs/>
                <w:szCs w:val="21"/>
              </w:rPr>
              <w:t>服务名称</w:t>
            </w:r>
          </w:p>
        </w:tc>
        <w:tc>
          <w:tcPr>
            <w:tcW w:w="1600" w:type="dxa"/>
            <w:noWrap w:val="0"/>
            <w:vAlign w:val="center"/>
          </w:tcPr>
          <w:p w14:paraId="40AEE210">
            <w:pPr>
              <w:ind w:right="101" w:rightChars="48"/>
              <w:jc w:val="center"/>
              <w:rPr>
                <w:rFonts w:eastAsia="黑体"/>
                <w:b/>
                <w:bCs/>
                <w:szCs w:val="21"/>
              </w:rPr>
            </w:pPr>
            <w:r>
              <w:rPr>
                <w:rFonts w:eastAsia="黑体"/>
                <w:b/>
                <w:bCs/>
                <w:szCs w:val="21"/>
              </w:rPr>
              <w:t>服务内容</w:t>
            </w:r>
          </w:p>
        </w:tc>
        <w:tc>
          <w:tcPr>
            <w:tcW w:w="1560" w:type="dxa"/>
            <w:noWrap w:val="0"/>
            <w:vAlign w:val="center"/>
          </w:tcPr>
          <w:p w14:paraId="4AA0637A">
            <w:pPr>
              <w:ind w:right="101" w:rightChars="48"/>
              <w:jc w:val="center"/>
              <w:rPr>
                <w:rFonts w:eastAsia="黑体"/>
                <w:b/>
                <w:bCs/>
                <w:szCs w:val="21"/>
              </w:rPr>
            </w:pPr>
            <w:r>
              <w:rPr>
                <w:rFonts w:eastAsia="黑体"/>
                <w:b/>
                <w:bCs/>
                <w:szCs w:val="21"/>
              </w:rPr>
              <w:t>数量单位</w:t>
            </w:r>
          </w:p>
        </w:tc>
        <w:tc>
          <w:tcPr>
            <w:tcW w:w="1275" w:type="dxa"/>
            <w:noWrap w:val="0"/>
            <w:vAlign w:val="center"/>
          </w:tcPr>
          <w:p w14:paraId="5018527B">
            <w:pPr>
              <w:ind w:right="101" w:rightChars="48"/>
              <w:jc w:val="center"/>
              <w:rPr>
                <w:rFonts w:eastAsia="黑体"/>
                <w:b/>
                <w:bCs/>
                <w:szCs w:val="21"/>
              </w:rPr>
            </w:pPr>
            <w:r>
              <w:rPr>
                <w:rFonts w:eastAsia="黑体"/>
                <w:b/>
                <w:bCs/>
                <w:szCs w:val="21"/>
              </w:rPr>
              <w:t>单价（元）</w:t>
            </w:r>
          </w:p>
        </w:tc>
        <w:tc>
          <w:tcPr>
            <w:tcW w:w="1418" w:type="dxa"/>
            <w:noWrap w:val="0"/>
            <w:vAlign w:val="center"/>
          </w:tcPr>
          <w:p w14:paraId="696C9A61">
            <w:pPr>
              <w:ind w:right="101" w:rightChars="48"/>
              <w:jc w:val="center"/>
              <w:rPr>
                <w:rFonts w:eastAsia="黑体"/>
                <w:b/>
                <w:bCs/>
                <w:szCs w:val="21"/>
              </w:rPr>
            </w:pPr>
            <w:r>
              <w:rPr>
                <w:rFonts w:eastAsia="黑体"/>
                <w:b/>
                <w:bCs/>
                <w:szCs w:val="21"/>
              </w:rPr>
              <w:t>小计金额（元）</w:t>
            </w:r>
          </w:p>
        </w:tc>
        <w:tc>
          <w:tcPr>
            <w:tcW w:w="867" w:type="dxa"/>
            <w:noWrap w:val="0"/>
            <w:vAlign w:val="center"/>
          </w:tcPr>
          <w:p w14:paraId="149BB59B">
            <w:pPr>
              <w:ind w:right="101" w:rightChars="48"/>
              <w:jc w:val="center"/>
              <w:rPr>
                <w:rFonts w:eastAsia="黑体"/>
                <w:b/>
                <w:bCs/>
                <w:szCs w:val="21"/>
              </w:rPr>
            </w:pPr>
            <w:r>
              <w:rPr>
                <w:rFonts w:eastAsia="黑体"/>
                <w:b/>
                <w:bCs/>
                <w:szCs w:val="21"/>
              </w:rPr>
              <w:t>备注</w:t>
            </w:r>
          </w:p>
        </w:tc>
      </w:tr>
      <w:tr w14:paraId="4A2AC6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8" w:type="dxa"/>
            <w:noWrap w:val="0"/>
            <w:vAlign w:val="center"/>
          </w:tcPr>
          <w:p w14:paraId="1F09CB8A">
            <w:pPr>
              <w:spacing w:line="360" w:lineRule="auto"/>
              <w:jc w:val="center"/>
              <w:rPr>
                <w:rFonts w:eastAsia="黑体"/>
                <w:szCs w:val="21"/>
              </w:rPr>
            </w:pPr>
          </w:p>
        </w:tc>
        <w:tc>
          <w:tcPr>
            <w:tcW w:w="1376" w:type="dxa"/>
            <w:noWrap w:val="0"/>
            <w:vAlign w:val="center"/>
          </w:tcPr>
          <w:p w14:paraId="12397F24">
            <w:pPr>
              <w:spacing w:line="360" w:lineRule="auto"/>
              <w:jc w:val="center"/>
              <w:rPr>
                <w:rFonts w:eastAsia="黑体"/>
                <w:szCs w:val="21"/>
              </w:rPr>
            </w:pPr>
          </w:p>
        </w:tc>
        <w:tc>
          <w:tcPr>
            <w:tcW w:w="1600" w:type="dxa"/>
            <w:noWrap w:val="0"/>
            <w:vAlign w:val="center"/>
          </w:tcPr>
          <w:p w14:paraId="0626E9A4">
            <w:pPr>
              <w:widowControl/>
              <w:spacing w:line="360" w:lineRule="auto"/>
              <w:jc w:val="center"/>
              <w:rPr>
                <w:rFonts w:eastAsia="黑体"/>
                <w:szCs w:val="21"/>
              </w:rPr>
            </w:pPr>
          </w:p>
        </w:tc>
        <w:tc>
          <w:tcPr>
            <w:tcW w:w="1560" w:type="dxa"/>
            <w:noWrap w:val="0"/>
            <w:vAlign w:val="center"/>
          </w:tcPr>
          <w:p w14:paraId="2D39654F">
            <w:pPr>
              <w:widowControl/>
              <w:spacing w:line="360" w:lineRule="auto"/>
              <w:jc w:val="center"/>
              <w:rPr>
                <w:rFonts w:eastAsia="黑体"/>
                <w:szCs w:val="21"/>
              </w:rPr>
            </w:pPr>
          </w:p>
        </w:tc>
        <w:tc>
          <w:tcPr>
            <w:tcW w:w="1275" w:type="dxa"/>
            <w:noWrap w:val="0"/>
            <w:vAlign w:val="center"/>
          </w:tcPr>
          <w:p w14:paraId="785A23EE">
            <w:pPr>
              <w:widowControl/>
              <w:spacing w:line="360" w:lineRule="auto"/>
              <w:jc w:val="center"/>
              <w:rPr>
                <w:rFonts w:eastAsia="黑体"/>
                <w:szCs w:val="21"/>
              </w:rPr>
            </w:pPr>
          </w:p>
        </w:tc>
        <w:tc>
          <w:tcPr>
            <w:tcW w:w="1418" w:type="dxa"/>
            <w:noWrap w:val="0"/>
            <w:vAlign w:val="center"/>
          </w:tcPr>
          <w:p w14:paraId="546B068C">
            <w:pPr>
              <w:spacing w:line="360" w:lineRule="auto"/>
              <w:ind w:right="101" w:rightChars="48"/>
              <w:jc w:val="center"/>
              <w:rPr>
                <w:rFonts w:eastAsia="黑体"/>
                <w:bCs/>
                <w:szCs w:val="21"/>
              </w:rPr>
            </w:pPr>
          </w:p>
        </w:tc>
        <w:tc>
          <w:tcPr>
            <w:tcW w:w="867" w:type="dxa"/>
            <w:noWrap w:val="0"/>
            <w:vAlign w:val="center"/>
          </w:tcPr>
          <w:p w14:paraId="1108F7F3">
            <w:pPr>
              <w:spacing w:line="360" w:lineRule="auto"/>
              <w:ind w:right="101" w:rightChars="48"/>
              <w:jc w:val="center"/>
              <w:rPr>
                <w:rFonts w:eastAsia="黑体"/>
                <w:bCs/>
                <w:szCs w:val="21"/>
              </w:rPr>
            </w:pPr>
          </w:p>
        </w:tc>
      </w:tr>
      <w:tr w14:paraId="398956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8" w:type="dxa"/>
            <w:noWrap w:val="0"/>
            <w:vAlign w:val="center"/>
          </w:tcPr>
          <w:p w14:paraId="238DB481">
            <w:pPr>
              <w:spacing w:line="360" w:lineRule="auto"/>
              <w:jc w:val="center"/>
              <w:rPr>
                <w:rFonts w:eastAsia="黑体"/>
                <w:szCs w:val="21"/>
              </w:rPr>
            </w:pPr>
            <w:r>
              <w:rPr>
                <w:rFonts w:eastAsia="黑体"/>
                <w:szCs w:val="21"/>
              </w:rPr>
              <w:t>…</w:t>
            </w:r>
          </w:p>
        </w:tc>
        <w:tc>
          <w:tcPr>
            <w:tcW w:w="1376" w:type="dxa"/>
            <w:noWrap w:val="0"/>
            <w:vAlign w:val="center"/>
          </w:tcPr>
          <w:p w14:paraId="7D4F8435">
            <w:pPr>
              <w:spacing w:line="360" w:lineRule="auto"/>
              <w:jc w:val="center"/>
              <w:rPr>
                <w:rFonts w:eastAsia="黑体"/>
                <w:szCs w:val="21"/>
              </w:rPr>
            </w:pPr>
          </w:p>
        </w:tc>
        <w:tc>
          <w:tcPr>
            <w:tcW w:w="1600" w:type="dxa"/>
            <w:noWrap w:val="0"/>
            <w:vAlign w:val="center"/>
          </w:tcPr>
          <w:p w14:paraId="193C2685">
            <w:pPr>
              <w:widowControl/>
              <w:spacing w:line="360" w:lineRule="auto"/>
              <w:jc w:val="center"/>
              <w:rPr>
                <w:rFonts w:eastAsia="黑体"/>
                <w:szCs w:val="21"/>
              </w:rPr>
            </w:pPr>
          </w:p>
        </w:tc>
        <w:tc>
          <w:tcPr>
            <w:tcW w:w="1560" w:type="dxa"/>
            <w:noWrap w:val="0"/>
            <w:vAlign w:val="center"/>
          </w:tcPr>
          <w:p w14:paraId="0C13D345">
            <w:pPr>
              <w:widowControl/>
              <w:spacing w:line="360" w:lineRule="auto"/>
              <w:jc w:val="center"/>
              <w:rPr>
                <w:rFonts w:eastAsia="黑体"/>
                <w:szCs w:val="21"/>
              </w:rPr>
            </w:pPr>
          </w:p>
        </w:tc>
        <w:tc>
          <w:tcPr>
            <w:tcW w:w="1275" w:type="dxa"/>
            <w:noWrap w:val="0"/>
            <w:vAlign w:val="center"/>
          </w:tcPr>
          <w:p w14:paraId="14806730">
            <w:pPr>
              <w:widowControl/>
              <w:spacing w:line="360" w:lineRule="auto"/>
              <w:jc w:val="center"/>
              <w:rPr>
                <w:rFonts w:eastAsia="黑体"/>
                <w:szCs w:val="21"/>
              </w:rPr>
            </w:pPr>
          </w:p>
        </w:tc>
        <w:tc>
          <w:tcPr>
            <w:tcW w:w="1418" w:type="dxa"/>
            <w:noWrap w:val="0"/>
            <w:vAlign w:val="center"/>
          </w:tcPr>
          <w:p w14:paraId="097FCA00">
            <w:pPr>
              <w:spacing w:line="360" w:lineRule="auto"/>
              <w:ind w:right="101" w:rightChars="48"/>
              <w:jc w:val="center"/>
              <w:rPr>
                <w:rFonts w:eastAsia="黑体"/>
                <w:bCs/>
                <w:szCs w:val="21"/>
              </w:rPr>
            </w:pPr>
          </w:p>
        </w:tc>
        <w:tc>
          <w:tcPr>
            <w:tcW w:w="867" w:type="dxa"/>
            <w:noWrap w:val="0"/>
            <w:vAlign w:val="center"/>
          </w:tcPr>
          <w:p w14:paraId="2B8FE717">
            <w:pPr>
              <w:spacing w:line="360" w:lineRule="auto"/>
              <w:ind w:right="101" w:rightChars="48"/>
              <w:jc w:val="center"/>
              <w:rPr>
                <w:rFonts w:eastAsia="黑体"/>
                <w:bCs/>
                <w:szCs w:val="21"/>
              </w:rPr>
            </w:pPr>
          </w:p>
        </w:tc>
      </w:tr>
      <w:tr w14:paraId="2790B1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94" w:type="dxa"/>
            <w:gridSpan w:val="7"/>
            <w:noWrap w:val="0"/>
            <w:vAlign w:val="center"/>
          </w:tcPr>
          <w:p w14:paraId="79BD9A85">
            <w:pPr>
              <w:spacing w:line="360" w:lineRule="auto"/>
              <w:ind w:right="101" w:rightChars="48"/>
              <w:jc w:val="left"/>
              <w:rPr>
                <w:rFonts w:eastAsia="黑体"/>
                <w:bCs/>
                <w:szCs w:val="21"/>
              </w:rPr>
            </w:pPr>
            <w:r>
              <w:rPr>
                <w:rFonts w:eastAsia="黑体"/>
                <w:b/>
                <w:szCs w:val="21"/>
              </w:rPr>
              <w:t>报价（小写：元）：</w:t>
            </w:r>
          </w:p>
        </w:tc>
      </w:tr>
      <w:tr w14:paraId="7971E2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94" w:type="dxa"/>
            <w:gridSpan w:val="7"/>
            <w:noWrap w:val="0"/>
            <w:vAlign w:val="center"/>
          </w:tcPr>
          <w:p w14:paraId="6D301080">
            <w:pPr>
              <w:spacing w:line="360" w:lineRule="auto"/>
              <w:ind w:right="101" w:rightChars="48"/>
              <w:jc w:val="left"/>
              <w:rPr>
                <w:rFonts w:eastAsia="黑体"/>
                <w:bCs/>
                <w:szCs w:val="21"/>
              </w:rPr>
            </w:pPr>
            <w:r>
              <w:rPr>
                <w:rFonts w:eastAsia="黑体"/>
                <w:b/>
                <w:szCs w:val="21"/>
              </w:rPr>
              <w:t>报价（大写：元）：</w:t>
            </w:r>
          </w:p>
        </w:tc>
      </w:tr>
    </w:tbl>
    <w:p w14:paraId="00FC41F8">
      <w:pPr>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（格子不够自行添加）</w:t>
      </w:r>
    </w:p>
    <w:p w14:paraId="2C0B83BB">
      <w:pPr>
        <w:rPr>
          <w:rFonts w:hint="eastAsia" w:ascii="Times New Roman" w:hAnsi="Times New Roman" w:eastAsia="宋体" w:cs="Times New Roman"/>
          <w:b/>
          <w:bCs/>
          <w:color w:val="FF0000"/>
          <w:sz w:val="24"/>
          <w:szCs w:val="24"/>
          <w:highlight w:val="none"/>
          <w:lang w:val="en-US" w:eastAsia="zh-CN"/>
        </w:rPr>
      </w:pPr>
      <w:r>
        <w:rPr>
          <w:rFonts w:hint="eastAsia" w:ascii="Times New Roman" w:hAnsi="Times New Roman" w:eastAsia="宋体" w:cs="Times New Roman"/>
          <w:b/>
          <w:bCs/>
          <w:color w:val="FF0000"/>
          <w:sz w:val="24"/>
          <w:szCs w:val="24"/>
          <w:lang w:val="en-US" w:eastAsia="zh-CN"/>
        </w:rPr>
        <w:t>特别说明：</w:t>
      </w:r>
      <w:r>
        <w:rPr>
          <w:rFonts w:hint="eastAsia" w:ascii="Times New Roman" w:hAnsi="Times New Roman" w:eastAsia="宋体" w:cs="Times New Roman"/>
          <w:b/>
          <w:bCs/>
          <w:color w:val="FF0000"/>
          <w:sz w:val="24"/>
          <w:szCs w:val="24"/>
          <w:highlight w:val="none"/>
          <w:lang w:val="en-US" w:eastAsia="zh-CN"/>
        </w:rPr>
        <w:t>报价需包含本次项目的产品、技术服务、验收、售后服务、培训、各种税费、代理服务费等直至达到使用要求和采购人付款条件所发生的一切费用，即总价包干。</w:t>
      </w:r>
    </w:p>
    <w:p w14:paraId="595BD94F">
      <w:pPr>
        <w:rPr>
          <w:rFonts w:hint="eastAsia" w:ascii="Times New Roman" w:hAnsi="Times New Roman" w:eastAsia="宋体" w:cs="Times New Roman"/>
          <w:b/>
          <w:bCs/>
          <w:color w:val="FF0000"/>
          <w:sz w:val="24"/>
          <w:szCs w:val="24"/>
          <w:highlight w:val="none"/>
          <w:lang w:val="en-US" w:eastAsia="zh-CN"/>
        </w:rPr>
      </w:pPr>
    </w:p>
    <w:p w14:paraId="49D5B54E">
      <w:pPr>
        <w:rPr>
          <w:rFonts w:hint="eastAsia" w:ascii="Times New Roman" w:hAnsi="Times New Roman" w:eastAsia="宋体" w:cs="Times New Roman"/>
          <w:b/>
          <w:bCs/>
          <w:color w:val="FF0000"/>
          <w:sz w:val="24"/>
          <w:szCs w:val="24"/>
          <w:highlight w:val="none"/>
          <w:lang w:val="en-US" w:eastAsia="zh-CN"/>
        </w:rPr>
      </w:pPr>
    </w:p>
    <w:p w14:paraId="6CCADE6F">
      <w:pPr>
        <w:rPr>
          <w:rFonts w:hint="eastAsia" w:ascii="Times New Roman" w:hAnsi="Times New Roman" w:eastAsia="宋体" w:cs="Times New Roman"/>
          <w:b/>
          <w:bCs/>
          <w:color w:val="FF0000"/>
          <w:sz w:val="24"/>
          <w:szCs w:val="24"/>
          <w:highlight w:val="none"/>
          <w:lang w:val="en-US" w:eastAsia="zh-CN"/>
        </w:rPr>
      </w:pPr>
    </w:p>
    <w:p w14:paraId="699ACD6E">
      <w:pPr>
        <w:rPr>
          <w:rFonts w:hint="eastAsia" w:ascii="Times New Roman" w:hAnsi="Times New Roman" w:eastAsia="宋体" w:cs="Times New Roman"/>
          <w:b/>
          <w:bCs/>
          <w:color w:val="FF0000"/>
          <w:sz w:val="24"/>
          <w:szCs w:val="24"/>
          <w:highlight w:val="none"/>
          <w:lang w:val="en-US" w:eastAsia="zh-CN"/>
        </w:rPr>
      </w:pPr>
    </w:p>
    <w:p w14:paraId="7037615C">
      <w:pPr>
        <w:rPr>
          <w:rFonts w:hint="eastAsia" w:ascii="Times New Roman" w:hAnsi="Times New Roman" w:eastAsia="宋体" w:cs="Times New Roman"/>
          <w:b/>
          <w:bCs/>
          <w:color w:val="FF0000"/>
          <w:sz w:val="24"/>
          <w:szCs w:val="24"/>
          <w:highlight w:val="none"/>
          <w:lang w:val="en-US" w:eastAsia="zh-CN"/>
        </w:rPr>
      </w:pPr>
    </w:p>
    <w:p w14:paraId="76705D34">
      <w:pPr>
        <w:rPr>
          <w:rFonts w:hint="eastAsia" w:ascii="Times New Roman" w:hAnsi="Times New Roman" w:eastAsia="宋体" w:cs="Times New Roman"/>
          <w:b/>
          <w:bCs/>
          <w:color w:val="FF0000"/>
          <w:sz w:val="24"/>
          <w:szCs w:val="24"/>
          <w:highlight w:val="none"/>
          <w:lang w:val="en-US" w:eastAsia="zh-CN"/>
        </w:rPr>
      </w:pPr>
    </w:p>
    <w:p w14:paraId="2F4476A9">
      <w:pPr>
        <w:rPr>
          <w:rFonts w:hint="eastAsia" w:ascii="Times New Roman" w:hAnsi="Times New Roman" w:eastAsia="宋体" w:cs="Times New Roman"/>
          <w:b/>
          <w:bCs/>
          <w:color w:val="FF0000"/>
          <w:sz w:val="24"/>
          <w:szCs w:val="24"/>
          <w:highlight w:val="none"/>
          <w:lang w:val="en-US" w:eastAsia="zh-CN"/>
        </w:rPr>
      </w:pPr>
    </w:p>
    <w:p w14:paraId="1CEB6F1F">
      <w:pPr>
        <w:rPr>
          <w:rFonts w:hint="eastAsia" w:ascii="Times New Roman" w:hAnsi="Times New Roman" w:eastAsia="宋体" w:cs="Times New Roman"/>
          <w:b/>
          <w:bCs/>
          <w:color w:val="FF0000"/>
          <w:sz w:val="24"/>
          <w:szCs w:val="24"/>
          <w:highlight w:val="none"/>
          <w:lang w:val="en-US" w:eastAsia="zh-CN"/>
        </w:rPr>
      </w:pPr>
    </w:p>
    <w:p w14:paraId="3502D66B">
      <w:pPr>
        <w:rPr>
          <w:rFonts w:hint="eastAsia" w:ascii="Times New Roman" w:hAnsi="Times New Roman" w:eastAsia="宋体" w:cs="Times New Roman"/>
          <w:b/>
          <w:bCs/>
          <w:color w:val="FF0000"/>
          <w:sz w:val="24"/>
          <w:szCs w:val="24"/>
          <w:highlight w:val="none"/>
          <w:lang w:val="en-US" w:eastAsia="zh-CN"/>
        </w:rPr>
      </w:pPr>
    </w:p>
    <w:p w14:paraId="357545BC">
      <w:pPr>
        <w:rPr>
          <w:rFonts w:hint="eastAsia" w:ascii="Times New Roman" w:hAnsi="Times New Roman" w:eastAsia="宋体" w:cs="Times New Roman"/>
          <w:b/>
          <w:bCs/>
          <w:color w:val="FF0000"/>
          <w:sz w:val="24"/>
          <w:szCs w:val="24"/>
          <w:highlight w:val="none"/>
          <w:lang w:val="en-US" w:eastAsia="zh-CN"/>
        </w:rPr>
      </w:pPr>
    </w:p>
    <w:p w14:paraId="39E3397D">
      <w:pPr>
        <w:rPr>
          <w:rFonts w:hint="eastAsia" w:ascii="Times New Roman" w:hAnsi="Times New Roman" w:eastAsia="宋体" w:cs="Times New Roman"/>
          <w:b/>
          <w:bCs/>
          <w:color w:val="FF0000"/>
          <w:sz w:val="24"/>
          <w:szCs w:val="24"/>
          <w:highlight w:val="none"/>
          <w:lang w:val="en-US" w:eastAsia="zh-CN"/>
        </w:rPr>
      </w:pPr>
    </w:p>
    <w:p w14:paraId="017C6F7B">
      <w:pPr>
        <w:rPr>
          <w:rFonts w:hint="eastAsia" w:ascii="Times New Roman" w:hAnsi="Times New Roman" w:eastAsia="宋体" w:cs="Times New Roman"/>
          <w:b/>
          <w:bCs/>
          <w:color w:val="FF0000"/>
          <w:sz w:val="24"/>
          <w:szCs w:val="24"/>
          <w:highlight w:val="none"/>
          <w:lang w:val="en-US" w:eastAsia="zh-CN"/>
        </w:rPr>
      </w:pPr>
    </w:p>
    <w:p w14:paraId="03908E2D">
      <w:pPr>
        <w:rPr>
          <w:rFonts w:hint="eastAsia" w:ascii="Times New Roman" w:hAnsi="Times New Roman" w:eastAsia="宋体" w:cs="Times New Roman"/>
          <w:b/>
          <w:bCs/>
          <w:color w:val="FF0000"/>
          <w:sz w:val="24"/>
          <w:szCs w:val="24"/>
          <w:highlight w:val="none"/>
          <w:lang w:val="en-US" w:eastAsia="zh-CN"/>
        </w:rPr>
      </w:pPr>
    </w:p>
    <w:p w14:paraId="0BF66784">
      <w:pPr>
        <w:rPr>
          <w:rFonts w:hint="eastAsia" w:ascii="Times New Roman" w:hAnsi="Times New Roman" w:eastAsia="宋体" w:cs="Times New Roman"/>
          <w:b/>
          <w:bCs/>
          <w:color w:val="FF0000"/>
          <w:sz w:val="24"/>
          <w:szCs w:val="24"/>
          <w:highlight w:val="none"/>
          <w:lang w:val="en-US" w:eastAsia="zh-CN"/>
        </w:rPr>
      </w:pPr>
    </w:p>
    <w:p w14:paraId="7585C08A">
      <w:pPr>
        <w:rPr>
          <w:rFonts w:hint="eastAsia" w:ascii="Times New Roman" w:hAnsi="Times New Roman" w:eastAsia="宋体" w:cs="Times New Roman"/>
          <w:b/>
          <w:bCs/>
          <w:color w:val="FF0000"/>
          <w:sz w:val="24"/>
          <w:szCs w:val="24"/>
          <w:highlight w:val="none"/>
          <w:lang w:val="en-US" w:eastAsia="zh-CN"/>
        </w:rPr>
      </w:pPr>
    </w:p>
    <w:p w14:paraId="0C019FE5">
      <w:pPr>
        <w:rPr>
          <w:rFonts w:hint="eastAsia" w:ascii="Times New Roman" w:hAnsi="Times New Roman" w:eastAsia="宋体" w:cs="Times New Roman"/>
          <w:b/>
          <w:bCs/>
          <w:color w:val="FF0000"/>
          <w:sz w:val="24"/>
          <w:szCs w:val="24"/>
          <w:highlight w:val="none"/>
          <w:lang w:val="en-US" w:eastAsia="zh-CN"/>
        </w:rPr>
      </w:pPr>
    </w:p>
    <w:p w14:paraId="76CAA95F">
      <w:pPr>
        <w:rPr>
          <w:rFonts w:hint="eastAsia" w:ascii="Times New Roman" w:hAnsi="Times New Roman" w:eastAsia="宋体" w:cs="Times New Roman"/>
          <w:b/>
          <w:bCs/>
          <w:color w:val="FF0000"/>
          <w:sz w:val="24"/>
          <w:szCs w:val="24"/>
          <w:highlight w:val="none"/>
          <w:lang w:val="en-US" w:eastAsia="zh-CN"/>
        </w:rPr>
      </w:pPr>
    </w:p>
    <w:p w14:paraId="0B4616C9">
      <w:pPr>
        <w:rPr>
          <w:rFonts w:hint="eastAsia" w:ascii="Times New Roman" w:hAnsi="Times New Roman" w:eastAsia="宋体" w:cs="Times New Roman"/>
          <w:b/>
          <w:bCs/>
          <w:color w:val="FF0000"/>
          <w:sz w:val="24"/>
          <w:szCs w:val="24"/>
          <w:highlight w:val="none"/>
          <w:lang w:val="en-US" w:eastAsia="zh-CN"/>
        </w:rPr>
      </w:pPr>
    </w:p>
    <w:p w14:paraId="213C0150">
      <w:pPr>
        <w:rPr>
          <w:rFonts w:hint="eastAsia" w:ascii="Times New Roman" w:hAnsi="Times New Roman" w:eastAsia="宋体" w:cs="Times New Roman"/>
          <w:b/>
          <w:bCs/>
          <w:color w:val="FF0000"/>
          <w:sz w:val="24"/>
          <w:szCs w:val="24"/>
          <w:highlight w:val="none"/>
          <w:lang w:val="en-US" w:eastAsia="zh-CN"/>
        </w:rPr>
      </w:pPr>
    </w:p>
    <w:p w14:paraId="06DECD7E">
      <w:pPr>
        <w:rPr>
          <w:rFonts w:hint="eastAsia" w:ascii="Times New Roman" w:hAnsi="Times New Roman" w:eastAsia="宋体" w:cs="Times New Roman"/>
          <w:b/>
          <w:bCs/>
          <w:color w:val="FF0000"/>
          <w:sz w:val="24"/>
          <w:szCs w:val="24"/>
          <w:highlight w:val="none"/>
          <w:lang w:val="en-US" w:eastAsia="zh-CN"/>
        </w:rPr>
      </w:pPr>
    </w:p>
    <w:p w14:paraId="677E1B91">
      <w:pPr>
        <w:rPr>
          <w:rFonts w:hint="eastAsia" w:ascii="Times New Roman" w:hAnsi="Times New Roman" w:eastAsia="宋体" w:cs="Times New Roman"/>
          <w:b/>
          <w:bCs/>
          <w:color w:val="FF0000"/>
          <w:sz w:val="24"/>
          <w:szCs w:val="24"/>
          <w:highlight w:val="none"/>
          <w:lang w:val="en-US" w:eastAsia="zh-CN"/>
        </w:rPr>
      </w:pPr>
    </w:p>
    <w:p w14:paraId="312DF50D">
      <w:pPr>
        <w:rPr>
          <w:rFonts w:hint="eastAsia" w:ascii="Times New Roman" w:hAnsi="Times New Roman" w:eastAsia="宋体" w:cs="Times New Roman"/>
          <w:b/>
          <w:bCs/>
          <w:color w:val="FF0000"/>
          <w:sz w:val="24"/>
          <w:szCs w:val="24"/>
          <w:highlight w:val="none"/>
          <w:lang w:val="en-US" w:eastAsia="zh-CN"/>
        </w:rPr>
      </w:pPr>
    </w:p>
    <w:p w14:paraId="25731D65">
      <w:pPr>
        <w:rPr>
          <w:rFonts w:hint="eastAsia" w:ascii="Times New Roman" w:hAnsi="Times New Roman" w:eastAsia="宋体" w:cs="Times New Roman"/>
          <w:b/>
          <w:bCs/>
          <w:color w:val="FF0000"/>
          <w:sz w:val="24"/>
          <w:szCs w:val="24"/>
          <w:highlight w:val="none"/>
          <w:lang w:val="en-US" w:eastAsia="zh-CN"/>
        </w:rPr>
      </w:pPr>
    </w:p>
    <w:p w14:paraId="7C716B1D">
      <w:pPr>
        <w:rPr>
          <w:rFonts w:hint="eastAsia" w:ascii="Times New Roman" w:hAnsi="Times New Roman" w:eastAsia="宋体" w:cs="Times New Roman"/>
          <w:b/>
          <w:bCs/>
          <w:color w:val="FF0000"/>
          <w:sz w:val="24"/>
          <w:szCs w:val="24"/>
          <w:highlight w:val="none"/>
          <w:lang w:val="en-US" w:eastAsia="zh-CN"/>
        </w:rPr>
      </w:pPr>
    </w:p>
    <w:p w14:paraId="5362D0D7">
      <w:pPr>
        <w:rPr>
          <w:rFonts w:hint="eastAsia" w:ascii="Times New Roman" w:hAnsi="Times New Roman" w:eastAsia="宋体" w:cs="Times New Roman"/>
          <w:b/>
          <w:bCs/>
          <w:color w:val="FF0000"/>
          <w:sz w:val="24"/>
          <w:szCs w:val="24"/>
          <w:highlight w:val="none"/>
          <w:lang w:val="en-US" w:eastAsia="zh-CN"/>
        </w:rPr>
      </w:pPr>
    </w:p>
    <w:p w14:paraId="6A6DAB93">
      <w:pPr>
        <w:rPr>
          <w:rFonts w:hint="eastAsia" w:ascii="Times New Roman" w:hAnsi="Times New Roman" w:eastAsia="宋体" w:cs="Times New Roman"/>
          <w:b/>
          <w:bCs/>
          <w:color w:val="FF0000"/>
          <w:sz w:val="24"/>
          <w:szCs w:val="24"/>
          <w:highlight w:val="none"/>
          <w:lang w:val="en-US" w:eastAsia="zh-CN"/>
        </w:rPr>
      </w:pPr>
    </w:p>
    <w:p w14:paraId="014268C7">
      <w:pPr>
        <w:rPr>
          <w:rFonts w:hint="eastAsia" w:ascii="Times New Roman" w:hAnsi="Times New Roman" w:eastAsia="宋体" w:cs="Times New Roman"/>
          <w:b/>
          <w:bCs/>
          <w:color w:val="FF0000"/>
          <w:sz w:val="24"/>
          <w:szCs w:val="24"/>
          <w:highlight w:val="none"/>
          <w:lang w:val="en-US" w:eastAsia="zh-CN"/>
        </w:rPr>
      </w:pPr>
    </w:p>
    <w:p w14:paraId="3CE8EB03">
      <w:pPr>
        <w:rPr>
          <w:rFonts w:hint="eastAsia" w:ascii="Times New Roman" w:hAnsi="Times New Roman" w:eastAsia="宋体" w:cs="Times New Roman"/>
          <w:b/>
          <w:bCs/>
          <w:color w:val="FF0000"/>
          <w:sz w:val="24"/>
          <w:szCs w:val="24"/>
          <w:highlight w:val="none"/>
          <w:lang w:val="en-US" w:eastAsia="zh-CN"/>
        </w:rPr>
      </w:pPr>
    </w:p>
    <w:p w14:paraId="6DB85811">
      <w:pPr>
        <w:rPr>
          <w:rFonts w:hint="eastAsia" w:ascii="Times New Roman" w:hAnsi="Times New Roman" w:eastAsia="宋体" w:cs="Times New Roman"/>
          <w:b/>
          <w:bCs/>
          <w:color w:val="FF0000"/>
          <w:sz w:val="24"/>
          <w:szCs w:val="24"/>
          <w:highlight w:val="none"/>
          <w:lang w:val="en-US" w:eastAsia="zh-CN"/>
        </w:rPr>
      </w:pPr>
    </w:p>
    <w:p w14:paraId="4D7AF157">
      <w:pPr>
        <w:jc w:val="both"/>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附件2：</w:t>
      </w:r>
    </w:p>
    <w:p w14:paraId="0ED41A0A">
      <w:pPr>
        <w:jc w:val="center"/>
        <w:rPr>
          <w:rFonts w:hint="default" w:ascii="宋体" w:hAnsi="宋体" w:eastAsia="宋体" w:cs="宋体"/>
          <w:b/>
          <w:bCs/>
          <w:i w:val="0"/>
          <w:iCs w:val="0"/>
          <w:caps w:val="0"/>
          <w:color w:val="555555"/>
          <w:spacing w:val="0"/>
          <w:sz w:val="24"/>
          <w:szCs w:val="24"/>
          <w:shd w:val="clear" w:fill="FFFFFF"/>
          <w:lang w:val="en-US" w:eastAsia="zh-CN"/>
        </w:rPr>
      </w:pPr>
      <w:r>
        <w:rPr>
          <w:rFonts w:hint="eastAsia" w:ascii="宋体" w:hAnsi="宋体" w:eastAsia="宋体" w:cs="宋体"/>
          <w:b/>
          <w:bCs/>
          <w:i w:val="0"/>
          <w:iCs w:val="0"/>
          <w:caps w:val="0"/>
          <w:color w:val="555555"/>
          <w:spacing w:val="0"/>
          <w:sz w:val="24"/>
          <w:szCs w:val="24"/>
          <w:shd w:val="clear" w:fill="FFFFFF"/>
          <w:lang w:val="en-US" w:eastAsia="zh-CN"/>
        </w:rPr>
        <w:t>采购需求</w:t>
      </w:r>
    </w:p>
    <w:p w14:paraId="4922C586">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一、项目概况：</w:t>
      </w:r>
    </w:p>
    <w:p w14:paraId="49AFCD65">
      <w:pPr>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w:t>
      </w:r>
      <w:r>
        <w:rPr>
          <w:rFonts w:hint="default" w:ascii="宋体" w:hAnsi="宋体" w:eastAsia="宋体" w:cs="宋体"/>
          <w:b w:val="0"/>
          <w:bCs w:val="0"/>
          <w:sz w:val="21"/>
          <w:szCs w:val="21"/>
          <w:lang w:val="en-US" w:eastAsia="zh-CN"/>
        </w:rPr>
        <w:t>项目地址：贵州省毕节市七星关区市西街道广惠 路112号浙江省人民医院毕节医院(毕节市第一人民医院)广惠院区、贵州省毕节市七星关区双横一路浙江省人民医院毕节医院(毕节市第一人民医院)金海湖院区</w:t>
      </w:r>
    </w:p>
    <w:p w14:paraId="51FD8344">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（二）自合同签署生效之日起，费用按年度支付，在甲方收到乙方开具的国家正规发票60个日历 日内向中标方一次性支付当年的租金。</w:t>
      </w:r>
    </w:p>
    <w:p w14:paraId="070FB239">
      <w:pPr>
        <w:jc w:val="both"/>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（三）项目服务时间：</w:t>
      </w:r>
      <w:r>
        <w:rPr>
          <w:rFonts w:hint="eastAsia" w:ascii="宋体" w:hAnsi="宋体" w:eastAsia="宋体" w:cs="宋体"/>
          <w:b w:val="0"/>
          <w:bCs w:val="0"/>
          <w:sz w:val="21"/>
          <w:szCs w:val="21"/>
          <w:u w:val="single"/>
          <w:lang w:val="en-US" w:eastAsia="zh-CN"/>
        </w:rPr>
        <w:t xml:space="preserve"> 叁  </w:t>
      </w:r>
      <w:r>
        <w:rPr>
          <w:rFonts w:hint="eastAsia" w:ascii="宋体" w:hAnsi="宋体" w:eastAsia="宋体" w:cs="宋体"/>
          <w:b w:val="0"/>
          <w:bCs w:val="0"/>
          <w:sz w:val="21"/>
          <w:szCs w:val="21"/>
          <w:lang w:val="en-US" w:eastAsia="zh-CN"/>
        </w:rPr>
        <w:t>年，合同签订后立即进场服务。合同一年一签，根据上一年度投标方履约情况确定是否签订当前年度合同。在项目服务期届满后还需投标方继续提供服务的，招投标双方可根据《政府采购法》及相关招标文件规定，另行协商签订补充协议事宜。</w:t>
      </w:r>
    </w:p>
    <w:p w14:paraId="48D847A4">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二、服务清单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455"/>
        <w:gridCol w:w="774"/>
      </w:tblGrid>
      <w:tr w14:paraId="0744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14F1DF89">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w:t>
            </w:r>
          </w:p>
        </w:tc>
        <w:tc>
          <w:tcPr>
            <w:tcW w:w="4455" w:type="dxa"/>
          </w:tcPr>
          <w:p w14:paraId="16C08321">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系统组成</w:t>
            </w:r>
          </w:p>
        </w:tc>
        <w:tc>
          <w:tcPr>
            <w:tcW w:w="774" w:type="dxa"/>
          </w:tcPr>
          <w:p w14:paraId="27CE48BE">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r>
      <w:tr w14:paraId="6FA0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14:paraId="4BEE2C60">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硬件服务</w:t>
            </w:r>
          </w:p>
        </w:tc>
        <w:tc>
          <w:tcPr>
            <w:tcW w:w="4455" w:type="dxa"/>
            <w:vAlign w:val="center"/>
          </w:tcPr>
          <w:p w14:paraId="1805C325">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智能蓝牙电子秤</w:t>
            </w:r>
          </w:p>
        </w:tc>
        <w:tc>
          <w:tcPr>
            <w:tcW w:w="774" w:type="dxa"/>
            <w:vAlign w:val="center"/>
          </w:tcPr>
          <w:p w14:paraId="64725DF5">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r>
      <w:tr w14:paraId="03A2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32E80123">
            <w:pPr>
              <w:jc w:val="both"/>
              <w:rPr>
                <w:rFonts w:hint="eastAsia" w:ascii="宋体" w:hAnsi="宋体" w:eastAsia="宋体" w:cs="宋体"/>
                <w:b w:val="0"/>
                <w:bCs w:val="0"/>
                <w:sz w:val="21"/>
                <w:szCs w:val="21"/>
                <w:vertAlign w:val="baseline"/>
                <w:lang w:val="en-US" w:eastAsia="zh-CN"/>
              </w:rPr>
            </w:pPr>
          </w:p>
        </w:tc>
        <w:tc>
          <w:tcPr>
            <w:tcW w:w="4455" w:type="dxa"/>
            <w:vAlign w:val="center"/>
          </w:tcPr>
          <w:p w14:paraId="732DDEA5">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PDA手持打码机</w:t>
            </w:r>
          </w:p>
        </w:tc>
        <w:tc>
          <w:tcPr>
            <w:tcW w:w="774" w:type="dxa"/>
            <w:vAlign w:val="center"/>
          </w:tcPr>
          <w:p w14:paraId="006ECE73">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r>
      <w:tr w14:paraId="0B71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6974EC9C">
            <w:pPr>
              <w:jc w:val="both"/>
              <w:rPr>
                <w:rFonts w:hint="eastAsia" w:ascii="宋体" w:hAnsi="宋体" w:eastAsia="宋体" w:cs="宋体"/>
                <w:b w:val="0"/>
                <w:bCs w:val="0"/>
                <w:sz w:val="21"/>
                <w:szCs w:val="21"/>
                <w:vertAlign w:val="baseline"/>
                <w:lang w:val="en-US" w:eastAsia="zh-CN"/>
              </w:rPr>
            </w:pPr>
          </w:p>
        </w:tc>
        <w:tc>
          <w:tcPr>
            <w:tcW w:w="4455" w:type="dxa"/>
            <w:vAlign w:val="center"/>
          </w:tcPr>
          <w:p w14:paraId="40375DF8">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手持打码终端4G卡(APN)专网</w:t>
            </w:r>
          </w:p>
        </w:tc>
        <w:tc>
          <w:tcPr>
            <w:tcW w:w="774" w:type="dxa"/>
            <w:vAlign w:val="center"/>
          </w:tcPr>
          <w:p w14:paraId="5C8CF991">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r>
      <w:tr w14:paraId="5E53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45FB669C">
            <w:pPr>
              <w:jc w:val="both"/>
              <w:rPr>
                <w:rFonts w:hint="eastAsia" w:ascii="宋体" w:hAnsi="宋体" w:eastAsia="宋体" w:cs="宋体"/>
                <w:b w:val="0"/>
                <w:bCs w:val="0"/>
                <w:sz w:val="21"/>
                <w:szCs w:val="21"/>
                <w:vertAlign w:val="baseline"/>
                <w:lang w:val="en-US" w:eastAsia="zh-CN"/>
              </w:rPr>
            </w:pPr>
          </w:p>
        </w:tc>
        <w:tc>
          <w:tcPr>
            <w:tcW w:w="4455" w:type="dxa"/>
            <w:vAlign w:val="center"/>
          </w:tcPr>
          <w:p w14:paraId="38D8AA0D">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RFID(射频识别)</w:t>
            </w:r>
          </w:p>
        </w:tc>
        <w:tc>
          <w:tcPr>
            <w:tcW w:w="774" w:type="dxa"/>
            <w:vAlign w:val="center"/>
          </w:tcPr>
          <w:p w14:paraId="599C63A0">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r>
      <w:tr w14:paraId="3608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14:paraId="36EAEBB4">
            <w:p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网络及软件服务</w:t>
            </w:r>
          </w:p>
        </w:tc>
        <w:tc>
          <w:tcPr>
            <w:tcW w:w="4455" w:type="dxa"/>
            <w:vAlign w:val="center"/>
          </w:tcPr>
          <w:p w14:paraId="320DEEA5">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PDA手持打码终端医废数据采集APP</w:t>
            </w:r>
          </w:p>
        </w:tc>
        <w:tc>
          <w:tcPr>
            <w:tcW w:w="774" w:type="dxa"/>
            <w:vAlign w:val="center"/>
          </w:tcPr>
          <w:p w14:paraId="7AE1C475">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r>
      <w:tr w14:paraId="530C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233912D5">
            <w:pPr>
              <w:jc w:val="both"/>
              <w:rPr>
                <w:rFonts w:hint="eastAsia" w:ascii="宋体" w:hAnsi="宋体" w:eastAsia="宋体" w:cs="宋体"/>
                <w:b w:val="0"/>
                <w:bCs w:val="0"/>
                <w:sz w:val="21"/>
                <w:szCs w:val="21"/>
                <w:vertAlign w:val="baseline"/>
                <w:lang w:val="en-US" w:eastAsia="zh-CN"/>
              </w:rPr>
            </w:pPr>
          </w:p>
        </w:tc>
        <w:tc>
          <w:tcPr>
            <w:tcW w:w="4455" w:type="dxa"/>
            <w:vAlign w:val="center"/>
          </w:tcPr>
          <w:p w14:paraId="4FC19A76">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网页端系统支持</w:t>
            </w:r>
          </w:p>
        </w:tc>
        <w:tc>
          <w:tcPr>
            <w:tcW w:w="774" w:type="dxa"/>
            <w:vAlign w:val="center"/>
          </w:tcPr>
          <w:p w14:paraId="5D44823F">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r>
      <w:tr w14:paraId="39FA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3DADD26E">
            <w:pPr>
              <w:jc w:val="both"/>
              <w:rPr>
                <w:rFonts w:hint="eastAsia" w:ascii="宋体" w:hAnsi="宋体" w:eastAsia="宋体" w:cs="宋体"/>
                <w:b w:val="0"/>
                <w:bCs w:val="0"/>
                <w:sz w:val="21"/>
                <w:szCs w:val="21"/>
                <w:vertAlign w:val="baseline"/>
                <w:lang w:val="en-US" w:eastAsia="zh-CN"/>
              </w:rPr>
            </w:pPr>
          </w:p>
        </w:tc>
        <w:tc>
          <w:tcPr>
            <w:tcW w:w="4455" w:type="dxa"/>
            <w:vAlign w:val="center"/>
          </w:tcPr>
          <w:p w14:paraId="6C129E5C">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手机APP端软件支持</w:t>
            </w:r>
          </w:p>
        </w:tc>
        <w:tc>
          <w:tcPr>
            <w:tcW w:w="774" w:type="dxa"/>
            <w:vAlign w:val="center"/>
          </w:tcPr>
          <w:p w14:paraId="7223F14E">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r>
      <w:tr w14:paraId="6F29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493D8665">
            <w:p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运维服务</w:t>
            </w:r>
          </w:p>
        </w:tc>
        <w:tc>
          <w:tcPr>
            <w:tcW w:w="4455" w:type="dxa"/>
            <w:vAlign w:val="center"/>
          </w:tcPr>
          <w:p w14:paraId="22311821">
            <w:pPr>
              <w:jc w:val="both"/>
              <w:rPr>
                <w:rFonts w:hint="eastAsia" w:ascii="宋体" w:hAnsi="宋体" w:eastAsia="宋体" w:cs="宋体"/>
                <w:b w:val="0"/>
                <w:bCs w:val="0"/>
                <w:sz w:val="21"/>
                <w:szCs w:val="21"/>
                <w:vertAlign w:val="baseline"/>
                <w:lang w:val="en-US" w:eastAsia="zh-CN"/>
              </w:rPr>
            </w:pPr>
          </w:p>
        </w:tc>
        <w:tc>
          <w:tcPr>
            <w:tcW w:w="774" w:type="dxa"/>
            <w:vAlign w:val="center"/>
          </w:tcPr>
          <w:p w14:paraId="205D2189">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据实</w:t>
            </w:r>
          </w:p>
        </w:tc>
      </w:tr>
      <w:tr w14:paraId="345E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4572BA0">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条码打印耗材</w:t>
            </w:r>
          </w:p>
        </w:tc>
        <w:tc>
          <w:tcPr>
            <w:tcW w:w="4455" w:type="dxa"/>
            <w:vAlign w:val="center"/>
          </w:tcPr>
          <w:p w14:paraId="13231276">
            <w:pPr>
              <w:jc w:val="both"/>
              <w:rPr>
                <w:rFonts w:hint="eastAsia" w:ascii="宋体" w:hAnsi="宋体" w:eastAsia="宋体" w:cs="宋体"/>
                <w:b w:val="0"/>
                <w:bCs w:val="0"/>
                <w:sz w:val="21"/>
                <w:szCs w:val="21"/>
                <w:vertAlign w:val="baseline"/>
                <w:lang w:val="en-US" w:eastAsia="zh-CN"/>
              </w:rPr>
            </w:pPr>
          </w:p>
        </w:tc>
        <w:tc>
          <w:tcPr>
            <w:tcW w:w="774" w:type="dxa"/>
            <w:vAlign w:val="center"/>
          </w:tcPr>
          <w:p w14:paraId="2290B772">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据实</w:t>
            </w:r>
          </w:p>
        </w:tc>
      </w:tr>
      <w:tr w14:paraId="5077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9" w:type="dxa"/>
            <w:gridSpan w:val="3"/>
            <w:vAlign w:val="center"/>
          </w:tcPr>
          <w:p w14:paraId="5D7C53E0">
            <w:pPr>
              <w:jc w:val="center"/>
              <w:rPr>
                <w:rFonts w:hint="eastAsia" w:ascii="宋体" w:hAnsi="宋体" w:eastAsia="宋体" w:cs="宋体"/>
                <w:b w:val="0"/>
                <w:bCs w:val="0"/>
                <w:sz w:val="21"/>
                <w:szCs w:val="21"/>
                <w:vertAlign w:val="baseline"/>
                <w:lang w:val="en-US" w:eastAsia="zh-CN"/>
              </w:rPr>
            </w:pPr>
            <w:r>
              <w:t>备注：广惠路院区3套，金海湖院区2套</w:t>
            </w:r>
          </w:p>
        </w:tc>
      </w:tr>
    </w:tbl>
    <w:p w14:paraId="65A06941">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三、服务内容</w:t>
      </w:r>
    </w:p>
    <w:p w14:paraId="1AF8239F">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一)负责对出租给招标方使用的《医疗机构医废条码跟踪管理系统》进行软件系统安装、系统升级、系统维护、培训和技术支持，对提供的硬件设备进行相应的维修、保养等服务，保障链路的畅通、稳定等，以确保甲方医废溯源、采集、回传系统的正常运行，并将实时医废数据回传到固体 废物管理综合信息系统平台。</w:t>
      </w:r>
    </w:p>
    <w:p w14:paraId="6528493F">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(二)为医院提供2次/年应急响应服务(非产品问题， 需要投标方人员现场支持)。</w:t>
      </w:r>
    </w:p>
    <w:p w14:paraId="41B37983">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0" distR="0" simplePos="0" relativeHeight="251659264" behindDoc="0" locked="0" layoutInCell="1" allowOverlap="1">
            <wp:simplePos x="0" y="0"/>
            <wp:positionH relativeFrom="column">
              <wp:posOffset>7254240</wp:posOffset>
            </wp:positionH>
            <wp:positionV relativeFrom="paragraph">
              <wp:posOffset>1352550</wp:posOffset>
            </wp:positionV>
            <wp:extent cx="666750" cy="1816100"/>
            <wp:effectExtent l="0" t="0" r="635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
                    <a:stretch>
                      <a:fillRect/>
                    </a:stretch>
                  </pic:blipFill>
                  <pic:spPr>
                    <a:xfrm>
                      <a:off x="0" y="0"/>
                      <a:ext cx="666774" cy="1816200"/>
                    </a:xfrm>
                    <a:prstGeom prst="rect">
                      <a:avLst/>
                    </a:prstGeom>
                  </pic:spPr>
                </pic:pic>
              </a:graphicData>
            </a:graphic>
          </wp:anchor>
        </w:drawing>
      </w:r>
      <w:r>
        <w:rPr>
          <w:rFonts w:hint="default" w:ascii="宋体" w:hAnsi="宋体" w:eastAsia="宋体" w:cs="宋体"/>
          <w:b w:val="0"/>
          <w:bCs w:val="0"/>
          <w:sz w:val="21"/>
          <w:szCs w:val="21"/>
          <w:lang w:val="en-US" w:eastAsia="zh-CN"/>
        </w:rPr>
        <w:t>(三)投标方需及时更新升级版本，同时对于系统投入 使用后发现的问题予以解决，确保系统的正常运行并将一飞数据及时准确地回传到固体废物管理综合信息系统平台。</w:t>
      </w:r>
    </w:p>
    <w:p w14:paraId="309BD21D">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(四)合同履行过程中，如招标方增加其他要求或服务 内容时，由双方另行协商解决。</w:t>
      </w:r>
    </w:p>
    <w:p w14:paraId="1C80D17E">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四、服务要求</w:t>
      </w:r>
    </w:p>
    <w:p w14:paraId="4CBF6E44">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(一)中标方应于合同生效之日起3日内交付租赁设备、 安装系统并调试完毕。</w:t>
      </w:r>
    </w:p>
    <w:p w14:paraId="7367E207">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(二)中标方须经医院通知之日起1日内按医院需求交 付条码打印耗材。</w:t>
      </w:r>
    </w:p>
    <w:p w14:paraId="305E6B0C">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(三)中标方逾期交付设备、耗材或安装系统的，每逾期一日，按合同总金额的10%向医院支付违约金，逾期超过3日的，医院有权解除合同，并要求中标方承担本协议总金额30%的违约金。</w:t>
      </w:r>
    </w:p>
    <w:p w14:paraId="245491E0">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(四)中标方接到故障报修后，保证维护人员在24小 时内达到约定的服务地点，如无法立即修复，中标方须免费更换相关设备以保障使用正常。如遇特殊天气等不可抗力因素，造成中标方达到现场的时间延后，需提前通知医院。</w:t>
      </w:r>
    </w:p>
    <w:p w14:paraId="7A347971">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(五)中标方为医院提供全天候24小时不间断的电话及微信技术支持服务。</w:t>
      </w:r>
    </w:p>
    <w:p w14:paraId="77B1BB77">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(六)中标方系统导致医院医废条码跟踪管理受相关主管部门处罚的，由中标方承担处罚及相关赔偿责任。</w:t>
      </w:r>
    </w:p>
    <w:p w14:paraId="461AF954">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(七)投标方应保证租赁设备、系统及耗材来源合法，未侵犯第三方知识产权并保证租赁物的完整所有权，若因投标方原因造成医院不能正常使用租赁物的，由投标方承担因此对医院造成的一切损失。</w:t>
      </w:r>
    </w:p>
    <w:p w14:paraId="4BA181DA">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(八)若因租赁物产品质量问题造成任何人身、财产损害的，均由中标方承担全部赔偿，改原因造成医院遭受对外赔偿的，医院有权向中标方追偿。</w:t>
      </w:r>
    </w:p>
    <w:p w14:paraId="58CBA717">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(九)中标方应遵守保密义务，对系统获取的甲方信息均不得外露，如因系统缺陷或其他中标方原因造成医院信息 泄露的，由中标方承担对医院造成的一切损失，若被相关部门处罚的，中标方全权承担责任。</w:t>
      </w:r>
    </w:p>
    <w:p w14:paraId="3E29D3C9">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五、违约条款</w:t>
      </w:r>
    </w:p>
    <w:p w14:paraId="406C6BAC">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(一)因中标方原因导致招标方出现数据传输事故被行 政处罚的，中标方应负责积极整改和完善数据传输等问题</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并承担相应的处罚责任及损失赔偿责任。同时，招标方有权解除合同，并不予承担任何解约责任。</w:t>
      </w:r>
    </w:p>
    <w:p w14:paraId="4D227246">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二)中标方不得单方解除合同，若中标方合同期限未届满且无正当理由擅自解除合同的，需向招标方赔偿相应的损失，赔偿标准按照本合同年服务费的30%标准计算。若该标准不能弥补招标方损失的，除上述赔偿外还应按照实际损失金额补足赔偿。</w:t>
      </w:r>
    </w:p>
    <w:p w14:paraId="39FD9494">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0" distR="0" simplePos="0" relativeHeight="251660288" behindDoc="0" locked="0" layoutInCell="1" allowOverlap="1">
            <wp:simplePos x="0" y="0"/>
            <wp:positionH relativeFrom="column">
              <wp:posOffset>7331710</wp:posOffset>
            </wp:positionH>
            <wp:positionV relativeFrom="paragraph">
              <wp:posOffset>1947545</wp:posOffset>
            </wp:positionV>
            <wp:extent cx="419100" cy="1416050"/>
            <wp:effectExtent l="0" t="0" r="0" b="635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419047" cy="1416075"/>
                    </a:xfrm>
                    <a:prstGeom prst="rect">
                      <a:avLst/>
                    </a:prstGeom>
                  </pic:spPr>
                </pic:pic>
              </a:graphicData>
            </a:graphic>
          </wp:anchor>
        </w:drawing>
      </w:r>
      <w:r>
        <w:rPr>
          <w:rFonts w:hint="default" w:ascii="宋体" w:hAnsi="宋体" w:eastAsia="宋体" w:cs="宋体"/>
          <w:b w:val="0"/>
          <w:bCs w:val="0"/>
          <w:sz w:val="21"/>
          <w:szCs w:val="21"/>
          <w:lang w:val="en-US" w:eastAsia="zh-CN"/>
        </w:rPr>
        <w:t>(三)招标方不得单方解除合同，若招标方合同期限未届满且无正当理由擅自解除合同的，需向中标方赔偿相应的损失，赔偿标准按照本合同年服务费的30%标准计算。若国家政策及主管部门要求导致招标方需解除合同情况，招标方不承担赔偿责任。.</w:t>
      </w:r>
    </w:p>
    <w:p w14:paraId="0FEA217A">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(四)招标方逾期支付服务费，需以未支付服务费金额为基数按照每日0.1%的利率支付逾期付款违约金，违约金最高不超过5%。但因中标方未提供发票导致招标方未及时支付的除外。</w:t>
      </w:r>
    </w:p>
    <w:p w14:paraId="5EC0A5F5">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(五)招标方未经中标方书面同意不得向他人授权使用  《涉危产废单位医废条码跟踪管理系统》包括相应的软硬件， 一经查实，招标方需按照本合同约定的合同总价两倍向中标方给予赔偿。</w:t>
      </w:r>
    </w:p>
    <w:p w14:paraId="2C38B1A5">
      <w:pPr>
        <w:jc w:val="both"/>
        <w:rPr>
          <w:rFonts w:hint="default" w:ascii="宋体" w:hAnsi="宋体" w:eastAsia="宋体" w:cs="宋体"/>
          <w:i w:val="0"/>
          <w:iCs w:val="0"/>
          <w:caps w:val="0"/>
          <w:color w:val="555555"/>
          <w:spacing w:val="0"/>
          <w:sz w:val="24"/>
          <w:szCs w:val="24"/>
          <w:shd w:val="clear" w:fill="FFFFFF"/>
          <w:lang w:val="en-US" w:eastAsia="zh-CN"/>
        </w:rPr>
      </w:pPr>
      <w:r>
        <w:rPr>
          <w:rFonts w:hint="default" w:ascii="宋体" w:hAnsi="宋体" w:eastAsia="宋体" w:cs="宋体"/>
          <w:b w:val="0"/>
          <w:bCs w:val="0"/>
          <w:sz w:val="21"/>
          <w:szCs w:val="21"/>
          <w:lang w:val="en-US" w:eastAsia="zh-CN"/>
        </w:rPr>
        <w:t>(六)若因中标方未按照本协议约定及时进行系统安装、升级、维护、培训和技术支持的，未及时对设备进行维修、保养等，造成系统不能正常运行或设备损坏的，由中标方承 担因此对招标方造成的一切损失，招标方不承担设备损害的责任。</w:t>
      </w:r>
    </w:p>
    <w:p w14:paraId="2F7939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p>
    <w:p w14:paraId="3612DB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p>
    <w:p w14:paraId="5E3BC66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p>
    <w:p w14:paraId="7AD0B0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p>
    <w:p w14:paraId="5E35AB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p>
    <w:p w14:paraId="6DEE6D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p>
    <w:p w14:paraId="7CF25F45">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长城楷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NmQ2OGMyZTgxYzRjYTgxZmUxNzE0ZDA5NzVhNDIifQ=="/>
  </w:docVars>
  <w:rsids>
    <w:rsidRoot w:val="00000000"/>
    <w:rsid w:val="0002117A"/>
    <w:rsid w:val="000942B7"/>
    <w:rsid w:val="00534C41"/>
    <w:rsid w:val="01671CF5"/>
    <w:rsid w:val="01DE4D61"/>
    <w:rsid w:val="022C33BD"/>
    <w:rsid w:val="033E1BFE"/>
    <w:rsid w:val="03B66504"/>
    <w:rsid w:val="03D54200"/>
    <w:rsid w:val="062E0F1B"/>
    <w:rsid w:val="06F91BC7"/>
    <w:rsid w:val="07936306"/>
    <w:rsid w:val="07A2530E"/>
    <w:rsid w:val="08BA0079"/>
    <w:rsid w:val="08C2594B"/>
    <w:rsid w:val="09905A49"/>
    <w:rsid w:val="09DC55A3"/>
    <w:rsid w:val="0AD11D1F"/>
    <w:rsid w:val="0B071D3B"/>
    <w:rsid w:val="0B275F39"/>
    <w:rsid w:val="0C5211E6"/>
    <w:rsid w:val="0CAB4778"/>
    <w:rsid w:val="0DAB6903"/>
    <w:rsid w:val="0E4F5ED2"/>
    <w:rsid w:val="0E502BBE"/>
    <w:rsid w:val="0EF85EB9"/>
    <w:rsid w:val="0F5A4B6B"/>
    <w:rsid w:val="103B7F76"/>
    <w:rsid w:val="10685029"/>
    <w:rsid w:val="124B4AB6"/>
    <w:rsid w:val="12AA5DDC"/>
    <w:rsid w:val="132556B3"/>
    <w:rsid w:val="13BF1C93"/>
    <w:rsid w:val="13DC2025"/>
    <w:rsid w:val="14215943"/>
    <w:rsid w:val="14475CDC"/>
    <w:rsid w:val="154F7972"/>
    <w:rsid w:val="15761F97"/>
    <w:rsid w:val="16695657"/>
    <w:rsid w:val="16A4694B"/>
    <w:rsid w:val="16DE0EB9"/>
    <w:rsid w:val="178870BF"/>
    <w:rsid w:val="187C5B16"/>
    <w:rsid w:val="1931456E"/>
    <w:rsid w:val="19607B6F"/>
    <w:rsid w:val="196B7F79"/>
    <w:rsid w:val="19D77386"/>
    <w:rsid w:val="1A0C2EC9"/>
    <w:rsid w:val="1AFD523A"/>
    <w:rsid w:val="1B4F315C"/>
    <w:rsid w:val="1B804386"/>
    <w:rsid w:val="1B9F38C9"/>
    <w:rsid w:val="1BE42B95"/>
    <w:rsid w:val="1C1B3898"/>
    <w:rsid w:val="1CE95744"/>
    <w:rsid w:val="1DF148B0"/>
    <w:rsid w:val="1E8B4CFA"/>
    <w:rsid w:val="1E9D4255"/>
    <w:rsid w:val="1EC40092"/>
    <w:rsid w:val="1EDA5344"/>
    <w:rsid w:val="2011123A"/>
    <w:rsid w:val="20C27BBB"/>
    <w:rsid w:val="20E9151E"/>
    <w:rsid w:val="221B014E"/>
    <w:rsid w:val="22757FF3"/>
    <w:rsid w:val="230C3F3A"/>
    <w:rsid w:val="23386ADD"/>
    <w:rsid w:val="233E10F9"/>
    <w:rsid w:val="23A10B26"/>
    <w:rsid w:val="2524556B"/>
    <w:rsid w:val="25BE7A27"/>
    <w:rsid w:val="25DA0450"/>
    <w:rsid w:val="26976211"/>
    <w:rsid w:val="272A709A"/>
    <w:rsid w:val="27576948"/>
    <w:rsid w:val="285A5748"/>
    <w:rsid w:val="28C44191"/>
    <w:rsid w:val="29D62BAC"/>
    <w:rsid w:val="2E691D7B"/>
    <w:rsid w:val="2EA913E3"/>
    <w:rsid w:val="2EA93CBC"/>
    <w:rsid w:val="2FE614FC"/>
    <w:rsid w:val="303625F7"/>
    <w:rsid w:val="30CE0A81"/>
    <w:rsid w:val="31B46BF1"/>
    <w:rsid w:val="31E76752"/>
    <w:rsid w:val="3291620A"/>
    <w:rsid w:val="32B005A0"/>
    <w:rsid w:val="33DF3964"/>
    <w:rsid w:val="33F10A9B"/>
    <w:rsid w:val="358B3826"/>
    <w:rsid w:val="36590DED"/>
    <w:rsid w:val="384B051F"/>
    <w:rsid w:val="38B85B5F"/>
    <w:rsid w:val="38B91E16"/>
    <w:rsid w:val="39193E32"/>
    <w:rsid w:val="396C6E12"/>
    <w:rsid w:val="3A08699C"/>
    <w:rsid w:val="3A1C460B"/>
    <w:rsid w:val="3A813820"/>
    <w:rsid w:val="3AB75A56"/>
    <w:rsid w:val="3B0E03F8"/>
    <w:rsid w:val="3B11613A"/>
    <w:rsid w:val="3B602C13"/>
    <w:rsid w:val="3B693848"/>
    <w:rsid w:val="3C3239FE"/>
    <w:rsid w:val="3D2C6A1C"/>
    <w:rsid w:val="3E546E60"/>
    <w:rsid w:val="3E6334E7"/>
    <w:rsid w:val="3E6749E1"/>
    <w:rsid w:val="3EA36C7E"/>
    <w:rsid w:val="3EF618CF"/>
    <w:rsid w:val="3F850EA5"/>
    <w:rsid w:val="41A712BF"/>
    <w:rsid w:val="42644326"/>
    <w:rsid w:val="42661E8B"/>
    <w:rsid w:val="42A34393"/>
    <w:rsid w:val="42A46591"/>
    <w:rsid w:val="43FE2FD4"/>
    <w:rsid w:val="445F5457"/>
    <w:rsid w:val="45106104"/>
    <w:rsid w:val="45106740"/>
    <w:rsid w:val="458C3429"/>
    <w:rsid w:val="462913BB"/>
    <w:rsid w:val="46CC57EA"/>
    <w:rsid w:val="47484C91"/>
    <w:rsid w:val="484D62D8"/>
    <w:rsid w:val="495E696E"/>
    <w:rsid w:val="4A1E5A53"/>
    <w:rsid w:val="4A524C36"/>
    <w:rsid w:val="4A9C592C"/>
    <w:rsid w:val="4B0B3923"/>
    <w:rsid w:val="4D0A4797"/>
    <w:rsid w:val="4F3E697A"/>
    <w:rsid w:val="4F6D6091"/>
    <w:rsid w:val="4FB530E0"/>
    <w:rsid w:val="4FC77813"/>
    <w:rsid w:val="502D2C76"/>
    <w:rsid w:val="50DB26D2"/>
    <w:rsid w:val="51E47CAD"/>
    <w:rsid w:val="53894668"/>
    <w:rsid w:val="53BA17D6"/>
    <w:rsid w:val="53F60606"/>
    <w:rsid w:val="54220625"/>
    <w:rsid w:val="54C65448"/>
    <w:rsid w:val="554A62B0"/>
    <w:rsid w:val="554C575D"/>
    <w:rsid w:val="55AF2380"/>
    <w:rsid w:val="55BF6CCD"/>
    <w:rsid w:val="5726041F"/>
    <w:rsid w:val="586E207E"/>
    <w:rsid w:val="58A837E2"/>
    <w:rsid w:val="5A843DDB"/>
    <w:rsid w:val="5C8E0F41"/>
    <w:rsid w:val="5D2D69AC"/>
    <w:rsid w:val="5E4500B8"/>
    <w:rsid w:val="5EB442D3"/>
    <w:rsid w:val="60ED1779"/>
    <w:rsid w:val="610C038F"/>
    <w:rsid w:val="61227EAA"/>
    <w:rsid w:val="62954919"/>
    <w:rsid w:val="62FD0BCE"/>
    <w:rsid w:val="64770797"/>
    <w:rsid w:val="657809E0"/>
    <w:rsid w:val="65CF5229"/>
    <w:rsid w:val="661B7FD4"/>
    <w:rsid w:val="66C27892"/>
    <w:rsid w:val="66D72668"/>
    <w:rsid w:val="679870C8"/>
    <w:rsid w:val="6864417C"/>
    <w:rsid w:val="68B91D64"/>
    <w:rsid w:val="692844CB"/>
    <w:rsid w:val="696316B8"/>
    <w:rsid w:val="69E20B1E"/>
    <w:rsid w:val="6A6D064D"/>
    <w:rsid w:val="6B695720"/>
    <w:rsid w:val="6BFF1513"/>
    <w:rsid w:val="6C19250C"/>
    <w:rsid w:val="6DFB5D0A"/>
    <w:rsid w:val="708A3026"/>
    <w:rsid w:val="71207B73"/>
    <w:rsid w:val="712437CA"/>
    <w:rsid w:val="71AA02FF"/>
    <w:rsid w:val="723003B9"/>
    <w:rsid w:val="7352461E"/>
    <w:rsid w:val="73A52921"/>
    <w:rsid w:val="740470C0"/>
    <w:rsid w:val="74542618"/>
    <w:rsid w:val="766B03F6"/>
    <w:rsid w:val="7734144F"/>
    <w:rsid w:val="778925D9"/>
    <w:rsid w:val="77CE5B33"/>
    <w:rsid w:val="78857244"/>
    <w:rsid w:val="78A43FAC"/>
    <w:rsid w:val="79065594"/>
    <w:rsid w:val="797F3C93"/>
    <w:rsid w:val="79A27982"/>
    <w:rsid w:val="7AD45909"/>
    <w:rsid w:val="7AD47ACF"/>
    <w:rsid w:val="7C29283B"/>
    <w:rsid w:val="7C8F0691"/>
    <w:rsid w:val="7CF46746"/>
    <w:rsid w:val="7D070B44"/>
    <w:rsid w:val="7DB83C18"/>
    <w:rsid w:val="7E8B4E88"/>
    <w:rsid w:val="7E941F8F"/>
    <w:rsid w:val="7F271629"/>
    <w:rsid w:val="7F914720"/>
    <w:rsid w:val="7FDA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qFormat/>
    <w:uiPriority w:val="0"/>
    <w:pPr>
      <w:keepNext/>
      <w:widowControl w:val="0"/>
      <w:spacing w:line="460" w:lineRule="exact"/>
      <w:jc w:val="both"/>
      <w:outlineLvl w:val="3"/>
    </w:pPr>
    <w:rPr>
      <w:rFonts w:ascii="宋体" w:hAnsi="宋体" w:eastAsiaTheme="minorEastAsia" w:cstheme="minorBidi"/>
      <w:kern w:val="2"/>
      <w:sz w:val="24"/>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next w:val="1"/>
    <w:qFormat/>
    <w:uiPriority w:val="0"/>
    <w:pPr>
      <w:widowControl w:val="0"/>
      <w:spacing w:after="120" w:afterLines="0"/>
      <w:jc w:val="both"/>
    </w:pPr>
    <w:rPr>
      <w:rFonts w:ascii="Tahoma" w:hAnsi="Tahoma" w:eastAsiaTheme="minorEastAsia" w:cstheme="minorBidi"/>
      <w:kern w:val="2"/>
      <w:sz w:val="21"/>
      <w:szCs w:val="24"/>
      <w:lang w:val="en-US" w:eastAsia="zh-CN" w:bidi="ar-SA"/>
    </w:rPr>
  </w:style>
  <w:style w:type="paragraph" w:styleId="5">
    <w:name w:val="Body Text Indent"/>
    <w:autoRedefine/>
    <w:qFormat/>
    <w:uiPriority w:val="0"/>
    <w:pPr>
      <w:widowControl w:val="0"/>
      <w:ind w:firstLine="560" w:firstLineChars="200"/>
      <w:jc w:val="both"/>
    </w:pPr>
    <w:rPr>
      <w:rFonts w:asciiTheme="minorHAnsi" w:hAnsiTheme="minorHAnsi" w:eastAsiaTheme="minorEastAsia" w:cstheme="minorBidi"/>
      <w:kern w:val="2"/>
      <w:sz w:val="28"/>
      <w:szCs w:val="24"/>
      <w:lang w:val="en-US" w:eastAsia="zh-CN" w:bidi="ar-SA"/>
    </w:rPr>
  </w:style>
  <w:style w:type="paragraph" w:styleId="6">
    <w:name w:val="Date"/>
    <w:next w:val="1"/>
    <w:qFormat/>
    <w:uiPriority w:val="0"/>
    <w:pPr>
      <w:widowControl w:val="0"/>
      <w:ind w:left="100" w:leftChars="2500"/>
      <w:jc w:val="both"/>
    </w:pPr>
    <w:rPr>
      <w:rFonts w:ascii="Tahoma" w:hAnsi="Tahoma" w:eastAsia="长城楷体" w:cstheme="minorBidi"/>
      <w:spacing w:val="4"/>
      <w:kern w:val="2"/>
      <w:sz w:val="28"/>
      <w:szCs w:val="24"/>
      <w:lang w:val="en-US" w:eastAsia="zh-CN" w:bidi="ar-SA"/>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font0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eastAsia" w:ascii="宋体" w:hAnsi="宋体" w:eastAsia="宋体" w:cs="宋体"/>
      <w:color w:val="000000"/>
      <w:sz w:val="24"/>
      <w:szCs w:val="24"/>
      <w:u w:val="none"/>
    </w:rPr>
  </w:style>
  <w:style w:type="character" w:customStyle="1" w:styleId="14">
    <w:name w:val="font21"/>
    <w:basedOn w:val="10"/>
    <w:qFormat/>
    <w:uiPriority w:val="0"/>
    <w:rPr>
      <w:rFonts w:ascii="Arial" w:hAnsi="Arial" w:cs="Arial"/>
      <w:color w:val="000000"/>
      <w:sz w:val="24"/>
      <w:szCs w:val="24"/>
      <w:u w:val="none"/>
    </w:rPr>
  </w:style>
  <w:style w:type="character" w:customStyle="1" w:styleId="15">
    <w:name w:val="font31"/>
    <w:basedOn w:val="10"/>
    <w:qFormat/>
    <w:uiPriority w:val="0"/>
    <w:rPr>
      <w:rFonts w:hint="eastAsia" w:ascii="宋体" w:hAnsi="宋体" w:eastAsia="宋体" w:cs="宋体"/>
      <w:color w:val="000000"/>
      <w:sz w:val="24"/>
      <w:szCs w:val="24"/>
      <w:u w:val="none"/>
      <w:vertAlign w:val="superscript"/>
    </w:rPr>
  </w:style>
  <w:style w:type="paragraph" w:customStyle="1" w:styleId="16">
    <w:name w:val="列出段落3"/>
    <w:qFormat/>
    <w:uiPriority w:val="1"/>
    <w:pPr>
      <w:widowControl w:val="0"/>
      <w:ind w:left="828" w:hanging="601"/>
      <w:jc w:val="both"/>
    </w:pPr>
    <w:rPr>
      <w:rFonts w:ascii="宋体" w:hAnsi="宋体" w:eastAsia="宋体" w:cs="宋体"/>
      <w:kern w:val="2"/>
      <w:sz w:val="21"/>
      <w:szCs w:val="24"/>
      <w:lang w:val="zh-CN" w:eastAsia="zh-CN" w:bidi="zh-CN"/>
    </w:rPr>
  </w:style>
  <w:style w:type="paragraph" w:customStyle="1" w:styleId="17">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18">
    <w:name w:val="Body text|1"/>
    <w:qFormat/>
    <w:uiPriority w:val="0"/>
    <w:pPr>
      <w:widowControl w:val="0"/>
      <w:spacing w:line="480" w:lineRule="auto"/>
      <w:ind w:firstLine="400"/>
      <w:jc w:val="both"/>
    </w:pPr>
    <w:rPr>
      <w:rFonts w:ascii="宋体" w:hAnsi="宋体" w:eastAsia="宋体" w:cs="宋体"/>
      <w:kern w:val="2"/>
      <w:sz w:val="20"/>
      <w:szCs w:val="20"/>
      <w:lang w:val="zh-TW" w:eastAsia="zh-TW" w:bidi="zh-TW"/>
    </w:rPr>
  </w:style>
  <w:style w:type="character" w:customStyle="1" w:styleId="19">
    <w:name w:val="font71"/>
    <w:basedOn w:val="10"/>
    <w:qFormat/>
    <w:uiPriority w:val="0"/>
    <w:rPr>
      <w:rFonts w:hint="eastAsia" w:ascii="宋体" w:hAnsi="宋体" w:eastAsia="宋体" w:cs="宋体"/>
      <w:color w:val="000000"/>
      <w:sz w:val="20"/>
      <w:szCs w:val="20"/>
      <w:u w:val="none"/>
    </w:rPr>
  </w:style>
  <w:style w:type="character" w:customStyle="1" w:styleId="20">
    <w:name w:val="font51"/>
    <w:basedOn w:val="10"/>
    <w:qFormat/>
    <w:uiPriority w:val="0"/>
    <w:rPr>
      <w:rFonts w:hint="eastAsia" w:ascii="宋体" w:hAnsi="宋体" w:eastAsia="宋体" w:cs="宋体"/>
      <w:color w:val="000000"/>
      <w:sz w:val="20"/>
      <w:szCs w:val="20"/>
      <w:u w:val="none"/>
    </w:rPr>
  </w:style>
  <w:style w:type="character" w:customStyle="1" w:styleId="21">
    <w:name w:val="font81"/>
    <w:basedOn w:val="10"/>
    <w:qFormat/>
    <w:uiPriority w:val="0"/>
    <w:rPr>
      <w:rFonts w:hint="eastAsia" w:ascii="微软雅黑" w:hAnsi="微软雅黑" w:eastAsia="微软雅黑" w:cs="微软雅黑"/>
      <w:color w:val="333333"/>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2597</Words>
  <Characters>2683</Characters>
  <Lines>0</Lines>
  <Paragraphs>0</Paragraphs>
  <TotalTime>1</TotalTime>
  <ScaleCrop>false</ScaleCrop>
  <LinksUpToDate>false</LinksUpToDate>
  <CharactersWithSpaces>2745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2024-02-27T09:32:00Z</dcterms:created>
  <dc:creator>张峰</dc:creator>
  <cp:lastModifiedBy>SOMEONE</cp:lastModifiedBy>
  <dcterms:modified xsi:type="dcterms:W3CDTF">2025-07-01T09:36:54Z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AB27907E7119428CBC339BD2D4D9651B_13</vt:lpwstr>
  </property>
  <property fmtid="{D5CDD505-2E9C-101B-9397-08002B2CF9AE}" pid="4" name="KSOTemplateDocerSaveRecord">
    <vt:lpwstr>eyJoZGlkIjoiZWNhY2ZjZWY5MWM5OWJmYzYyODUwZGI4OTk2NDU1ODkiLCJ1c2VySWQiOiIzNzM2Mjk3NTUifQ==</vt:lpwstr>
  </property>
</Properties>
</file>