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889E3E">
      <w:pPr>
        <w:keepNext w:val="0"/>
        <w:keepLines w:val="0"/>
        <w:widowControl/>
        <w:suppressLineNumbers w:val="0"/>
        <w:jc w:val="both"/>
        <w:rPr>
          <w:rFonts w:hint="default" w:ascii="宋体" w:hAnsi="宋体" w:cs="宋体"/>
          <w:b/>
          <w:bCs/>
          <w:color w:val="000000"/>
          <w:kern w:val="0"/>
          <w:sz w:val="32"/>
          <w:szCs w:val="32"/>
          <w:lang w:val="en-US" w:eastAsia="zh-CN" w:bidi="ar"/>
        </w:rPr>
      </w:pPr>
      <w:r>
        <w:rPr>
          <w:rFonts w:hint="eastAsia" w:ascii="宋体" w:hAnsi="宋体" w:cs="宋体"/>
          <w:b/>
          <w:bCs/>
          <w:color w:val="000000"/>
          <w:kern w:val="0"/>
          <w:sz w:val="32"/>
          <w:szCs w:val="32"/>
          <w:lang w:val="en-US" w:eastAsia="zh-CN" w:bidi="ar"/>
        </w:rPr>
        <w:t>附件1：</w:t>
      </w:r>
    </w:p>
    <w:p w14:paraId="2FBA0642">
      <w:pPr>
        <w:keepNext w:val="0"/>
        <w:keepLines w:val="0"/>
        <w:widowControl/>
        <w:suppressLineNumbers w:val="0"/>
        <w:jc w:val="center"/>
        <w:rPr>
          <w:rFonts w:hint="default" w:ascii="宋体" w:hAnsi="宋体" w:cs="宋体"/>
          <w:b/>
          <w:bCs/>
          <w:color w:val="000000"/>
          <w:kern w:val="0"/>
          <w:sz w:val="32"/>
          <w:szCs w:val="32"/>
          <w:lang w:val="en-US" w:eastAsia="zh-CN" w:bidi="ar"/>
        </w:rPr>
      </w:pPr>
      <w:r>
        <w:rPr>
          <w:rFonts w:hint="eastAsia" w:ascii="宋体" w:hAnsi="宋体" w:cs="宋体"/>
          <w:b/>
          <w:bCs/>
          <w:color w:val="000000"/>
          <w:kern w:val="0"/>
          <w:sz w:val="32"/>
          <w:szCs w:val="32"/>
          <w:lang w:val="en-US" w:eastAsia="zh-CN" w:bidi="ar"/>
        </w:rPr>
        <w:t>采购需求</w:t>
      </w:r>
    </w:p>
    <w:p w14:paraId="329CA5D7">
      <w:pPr>
        <w:keepNext w:val="0"/>
        <w:keepLines w:val="0"/>
        <w:widowControl/>
        <w:suppressLineNumbers w:val="0"/>
        <w:jc w:val="left"/>
        <w:rPr>
          <w:rFonts w:hint="eastAsia" w:ascii="宋体" w:hAnsi="宋体" w:cs="宋体"/>
          <w:b/>
          <w:bCs/>
          <w:color w:val="000000"/>
          <w:kern w:val="0"/>
          <w:sz w:val="32"/>
          <w:szCs w:val="32"/>
          <w:lang w:val="en-US" w:eastAsia="zh-CN" w:bidi="ar"/>
        </w:rPr>
      </w:pPr>
      <w:r>
        <w:rPr>
          <w:rFonts w:hint="eastAsia" w:ascii="宋体" w:hAnsi="宋体" w:cs="宋体"/>
          <w:b/>
          <w:bCs/>
          <w:color w:val="000000"/>
          <w:kern w:val="0"/>
          <w:sz w:val="32"/>
          <w:szCs w:val="32"/>
          <w:lang w:val="en-US" w:eastAsia="zh-CN" w:bidi="ar"/>
        </w:rPr>
        <w:t>一、保险追溯期限：</w:t>
      </w:r>
      <w:bookmarkStart w:id="0" w:name="_GoBack"/>
      <w:bookmarkEnd w:id="0"/>
    </w:p>
    <w:p w14:paraId="3078476C">
      <w:pPr>
        <w:keepNext w:val="0"/>
        <w:keepLines w:val="0"/>
        <w:widowControl/>
        <w:suppressLineNumbers w:val="0"/>
        <w:jc w:val="left"/>
        <w:rPr>
          <w:rFonts w:hint="eastAsia"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2025年1月19日至2026年1月18日（第一年）</w:t>
      </w:r>
    </w:p>
    <w:p w14:paraId="1377950C">
      <w:pPr>
        <w:keepNext w:val="0"/>
        <w:keepLines w:val="0"/>
        <w:widowControl/>
        <w:suppressLineNumbers w:val="0"/>
        <w:jc w:val="left"/>
        <w:rPr>
          <w:rFonts w:hint="eastAsia"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2026年1月19日至2027年1月18日（第二年）</w:t>
      </w:r>
    </w:p>
    <w:p w14:paraId="1C34931E">
      <w:pPr>
        <w:keepNext w:val="0"/>
        <w:keepLines w:val="0"/>
        <w:widowControl/>
        <w:suppressLineNumbers w:val="0"/>
        <w:jc w:val="left"/>
        <w:rPr>
          <w:rFonts w:hint="eastAsia"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2027年1月19日至2028年1月18日（第三年）</w:t>
      </w:r>
    </w:p>
    <w:p w14:paraId="0DB6C5ED">
      <w:pPr>
        <w:keepNext w:val="0"/>
        <w:keepLines w:val="0"/>
        <w:widowControl/>
        <w:suppressLineNumbers w:val="0"/>
        <w:jc w:val="left"/>
        <w:rPr>
          <w:rFonts w:hint="eastAsia"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其中，合同履约考核方式为</w:t>
      </w:r>
      <w:r>
        <w:rPr>
          <w:rFonts w:hint="eastAsia" w:ascii="宋体" w:hAnsi="宋体" w:eastAsia="宋体" w:cs="宋体"/>
          <w:color w:val="000000"/>
          <w:kern w:val="0"/>
          <w:sz w:val="32"/>
          <w:szCs w:val="32"/>
          <w:lang w:val="en-US" w:eastAsia="zh-CN" w:bidi="ar"/>
        </w:rPr>
        <w:t>一年考核，考核合格后续签</w:t>
      </w:r>
      <w:r>
        <w:rPr>
          <w:rFonts w:hint="eastAsia" w:ascii="宋体" w:hAnsi="宋体" w:cs="宋体"/>
          <w:color w:val="000000"/>
          <w:kern w:val="0"/>
          <w:sz w:val="32"/>
          <w:szCs w:val="32"/>
          <w:lang w:val="en-US" w:eastAsia="zh-CN" w:bidi="ar"/>
        </w:rPr>
        <w:t>。</w:t>
      </w:r>
    </w:p>
    <w:p w14:paraId="5973FE95">
      <w:pPr>
        <w:keepNext w:val="0"/>
        <w:keepLines w:val="0"/>
        <w:widowControl/>
        <w:suppressLineNumbers w:val="0"/>
        <w:jc w:val="left"/>
        <w:rPr>
          <w:rFonts w:hint="eastAsia" w:ascii="宋体" w:hAnsi="宋体" w:cs="宋体"/>
          <w:color w:val="000000"/>
          <w:kern w:val="0"/>
          <w:sz w:val="32"/>
          <w:szCs w:val="32"/>
          <w:lang w:val="en-US" w:eastAsia="zh-CN" w:bidi="ar"/>
        </w:rPr>
      </w:pPr>
      <w:r>
        <w:rPr>
          <w:rFonts w:hint="eastAsia" w:ascii="宋体" w:hAnsi="宋体" w:cs="宋体"/>
          <w:b/>
          <w:bCs/>
          <w:color w:val="000000"/>
          <w:kern w:val="0"/>
          <w:sz w:val="32"/>
          <w:szCs w:val="32"/>
          <w:lang w:val="en-US" w:eastAsia="zh-CN" w:bidi="ar"/>
        </w:rPr>
        <w:t>二、采购保险金额（累计责任限额）：</w:t>
      </w:r>
      <w:r>
        <w:rPr>
          <w:rFonts w:hint="eastAsia" w:ascii="宋体" w:hAnsi="宋体" w:eastAsia="宋体" w:cs="宋体"/>
          <w:color w:val="000000"/>
          <w:kern w:val="0"/>
          <w:sz w:val="32"/>
          <w:szCs w:val="32"/>
          <w:lang w:val="en-US" w:eastAsia="zh-CN" w:bidi="ar"/>
        </w:rPr>
        <w:t>400万元</w:t>
      </w:r>
      <w:r>
        <w:rPr>
          <w:rFonts w:hint="eastAsia" w:ascii="宋体" w:hAnsi="宋体" w:cs="宋体"/>
          <w:color w:val="000000"/>
          <w:kern w:val="0"/>
          <w:sz w:val="32"/>
          <w:szCs w:val="32"/>
          <w:lang w:val="en-US" w:eastAsia="zh-CN" w:bidi="ar"/>
        </w:rPr>
        <w:t xml:space="preserve">/年。 </w:t>
      </w:r>
    </w:p>
    <w:p w14:paraId="1D9A5902">
      <w:pPr>
        <w:keepNext w:val="0"/>
        <w:keepLines w:val="0"/>
        <w:widowControl/>
        <w:suppressLineNumbers w:val="0"/>
        <w:jc w:val="left"/>
        <w:rPr>
          <w:rFonts w:hint="default" w:ascii="宋体" w:hAnsi="宋体" w:cs="宋体"/>
          <w:b/>
          <w:bCs/>
          <w:color w:val="000000"/>
          <w:kern w:val="0"/>
          <w:sz w:val="32"/>
          <w:szCs w:val="32"/>
          <w:lang w:val="en-US" w:eastAsia="zh-CN" w:bidi="ar"/>
        </w:rPr>
      </w:pPr>
      <w:r>
        <w:rPr>
          <w:rFonts w:hint="eastAsia" w:ascii="宋体" w:hAnsi="宋体" w:cs="宋体"/>
          <w:b/>
          <w:bCs/>
          <w:color w:val="000000"/>
          <w:kern w:val="0"/>
          <w:sz w:val="32"/>
          <w:szCs w:val="32"/>
          <w:lang w:val="en-US" w:eastAsia="zh-CN" w:bidi="ar"/>
        </w:rPr>
        <w:t>三、保险服务需求：</w:t>
      </w:r>
    </w:p>
    <w:p w14:paraId="5872650E">
      <w:pPr>
        <w:keepNext w:val="0"/>
        <w:keepLines w:val="0"/>
        <w:widowControl/>
        <w:numPr>
          <w:ilvl w:val="0"/>
          <w:numId w:val="0"/>
        </w:numPr>
        <w:suppressLineNumbers w:val="0"/>
        <w:jc w:val="left"/>
        <w:rPr>
          <w:rFonts w:hint="eastAsia"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1.保险服务项目：医疗责任保险及诉讼费、鉴定费、案件受理费等法律费用。</w:t>
      </w:r>
    </w:p>
    <w:p w14:paraId="23408283">
      <w:pPr>
        <w:keepNext w:val="0"/>
        <w:keepLines w:val="0"/>
        <w:widowControl/>
        <w:numPr>
          <w:ilvl w:val="0"/>
          <w:numId w:val="0"/>
        </w:numPr>
        <w:suppressLineNumbers w:val="0"/>
        <w:jc w:val="left"/>
        <w:rPr>
          <w:rFonts w:hint="eastAsia" w:ascii="宋体" w:hAnsi="宋体" w:eastAsia="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2.</w:t>
      </w:r>
      <w:r>
        <w:rPr>
          <w:rFonts w:hint="eastAsia" w:ascii="宋体" w:hAnsi="宋体" w:eastAsia="宋体" w:cs="宋体"/>
          <w:color w:val="000000"/>
          <w:kern w:val="0"/>
          <w:sz w:val="32"/>
          <w:szCs w:val="32"/>
          <w:lang w:val="en-US" w:eastAsia="zh-CN" w:bidi="ar"/>
        </w:rPr>
        <w:t>每次事故责任限额：</w:t>
      </w:r>
      <w:r>
        <w:rPr>
          <w:rFonts w:hint="eastAsia" w:ascii="宋体" w:hAnsi="宋体" w:cs="宋体"/>
          <w:color w:val="000000"/>
          <w:kern w:val="0"/>
          <w:sz w:val="32"/>
          <w:szCs w:val="32"/>
          <w:lang w:val="en-US" w:eastAsia="zh-CN" w:bidi="ar"/>
        </w:rPr>
        <w:t>6</w:t>
      </w:r>
      <w:r>
        <w:rPr>
          <w:rFonts w:hint="eastAsia" w:ascii="宋体" w:hAnsi="宋体" w:eastAsia="宋体" w:cs="宋体"/>
          <w:color w:val="000000"/>
          <w:kern w:val="0"/>
          <w:sz w:val="32"/>
          <w:szCs w:val="32"/>
          <w:lang w:val="en-US" w:eastAsia="zh-CN" w:bidi="ar"/>
        </w:rPr>
        <w:t>0万元</w:t>
      </w:r>
      <w:r>
        <w:rPr>
          <w:rFonts w:hint="eastAsia" w:ascii="宋体" w:hAnsi="宋体" w:cs="宋体"/>
          <w:color w:val="000000"/>
          <w:kern w:val="0"/>
          <w:sz w:val="32"/>
          <w:szCs w:val="32"/>
          <w:lang w:val="en-US" w:eastAsia="zh-CN" w:bidi="ar"/>
        </w:rPr>
        <w:t>，其中：</w:t>
      </w:r>
      <w:r>
        <w:rPr>
          <w:rFonts w:hint="eastAsia" w:ascii="宋体" w:hAnsi="宋体" w:eastAsia="宋体" w:cs="宋体"/>
          <w:color w:val="000000"/>
          <w:kern w:val="0"/>
          <w:sz w:val="32"/>
          <w:szCs w:val="32"/>
          <w:lang w:val="en-US" w:eastAsia="zh-CN" w:bidi="ar"/>
        </w:rPr>
        <w:t>精神损害每人责任限额为5万元，并包含在医疗责任每人责任限额之内。</w:t>
      </w:r>
    </w:p>
    <w:p w14:paraId="4A3113D5">
      <w:pPr>
        <w:keepNext w:val="0"/>
        <w:keepLines w:val="0"/>
        <w:widowControl/>
        <w:numPr>
          <w:ilvl w:val="0"/>
          <w:numId w:val="0"/>
        </w:numPr>
        <w:suppressLineNumbers w:val="0"/>
        <w:jc w:val="left"/>
        <w:rPr>
          <w:rFonts w:hint="default" w:ascii="宋体" w:hAnsi="宋体" w:eastAsia="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3.法律费用：</w:t>
      </w:r>
      <w:r>
        <w:rPr>
          <w:rFonts w:hint="eastAsia" w:ascii="宋体" w:hAnsi="宋体" w:eastAsia="宋体" w:cs="宋体"/>
          <w:color w:val="000000"/>
          <w:kern w:val="0"/>
          <w:sz w:val="32"/>
          <w:szCs w:val="32"/>
          <w:lang w:val="en-US" w:eastAsia="zh-CN" w:bidi="ar"/>
        </w:rPr>
        <w:t>被保险人作为被告或者第三人被提起诉讼或者仲裁，对于应由被保险人支付的法律费用</w:t>
      </w:r>
      <w:r>
        <w:rPr>
          <w:rFonts w:hint="eastAsia" w:ascii="宋体" w:hAnsi="宋体" w:cs="宋体"/>
          <w:color w:val="000000"/>
          <w:kern w:val="0"/>
          <w:sz w:val="32"/>
          <w:szCs w:val="32"/>
          <w:lang w:val="en-US" w:eastAsia="zh-CN" w:bidi="ar"/>
        </w:rPr>
        <w:t>：</w:t>
      </w:r>
      <w:r>
        <w:rPr>
          <w:rFonts w:hint="eastAsia" w:ascii="宋体" w:hAnsi="宋体" w:eastAsia="宋体" w:cs="宋体"/>
          <w:color w:val="000000"/>
          <w:kern w:val="0"/>
          <w:sz w:val="32"/>
          <w:szCs w:val="32"/>
          <w:lang w:val="en-US" w:eastAsia="zh-CN" w:bidi="ar"/>
        </w:rPr>
        <w:t>包括仲裁或诉讼费用(包括可能产生的案件受理费、勘验费、鉴定费、律师费、</w:t>
      </w:r>
      <w:r>
        <w:rPr>
          <w:rFonts w:hint="eastAsia" w:ascii="宋体" w:hAnsi="宋体" w:cs="宋体"/>
          <w:color w:val="000000"/>
          <w:kern w:val="0"/>
          <w:sz w:val="32"/>
          <w:szCs w:val="32"/>
          <w:lang w:val="en-US" w:eastAsia="zh-CN" w:bidi="ar"/>
        </w:rPr>
        <w:t>尸检费</w:t>
      </w:r>
      <w:r>
        <w:rPr>
          <w:rFonts w:hint="eastAsia" w:ascii="宋体" w:hAnsi="宋体" w:eastAsia="宋体" w:cs="宋体"/>
          <w:color w:val="000000"/>
          <w:kern w:val="0"/>
          <w:sz w:val="32"/>
          <w:szCs w:val="32"/>
          <w:lang w:val="en-US" w:eastAsia="zh-CN" w:bidi="ar"/>
        </w:rPr>
        <w:t>等)以及其他必要的、合理的法律费用，保险人</w:t>
      </w:r>
      <w:r>
        <w:rPr>
          <w:rFonts w:hint="eastAsia" w:ascii="宋体" w:hAnsi="宋体" w:cs="宋体"/>
          <w:color w:val="000000"/>
          <w:kern w:val="0"/>
          <w:sz w:val="32"/>
          <w:szCs w:val="32"/>
          <w:lang w:val="en-US" w:eastAsia="zh-CN" w:bidi="ar"/>
        </w:rPr>
        <w:t>应当向被保险人支付。</w:t>
      </w:r>
    </w:p>
    <w:p w14:paraId="079953B2">
      <w:pPr>
        <w:keepNext w:val="0"/>
        <w:keepLines w:val="0"/>
        <w:widowControl/>
        <w:numPr>
          <w:ilvl w:val="0"/>
          <w:numId w:val="0"/>
        </w:numPr>
        <w:suppressLineNumbers w:val="0"/>
        <w:jc w:val="left"/>
        <w:rPr>
          <w:rFonts w:hint="eastAsia"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4.累计责任限额：400万元/年。</w:t>
      </w:r>
    </w:p>
    <w:p w14:paraId="04F09B30">
      <w:pPr>
        <w:keepNext w:val="0"/>
        <w:keepLines w:val="0"/>
        <w:widowControl/>
        <w:numPr>
          <w:ilvl w:val="0"/>
          <w:numId w:val="0"/>
        </w:numPr>
        <w:suppressLineNumbers w:val="0"/>
        <w:jc w:val="left"/>
        <w:rPr>
          <w:rFonts w:hint="eastAsia"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5.免赔额：不计免赔。</w:t>
      </w:r>
    </w:p>
    <w:p w14:paraId="10585640">
      <w:pPr>
        <w:keepNext w:val="0"/>
        <w:keepLines w:val="0"/>
        <w:widowControl/>
        <w:suppressLineNumbers w:val="0"/>
        <w:jc w:val="left"/>
        <w:rPr>
          <w:rFonts w:hint="eastAsia"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6.追溯期特别约定：追溯期起始日为2025年1月19日。</w:t>
      </w:r>
    </w:p>
    <w:p w14:paraId="785362F5">
      <w:pPr>
        <w:keepNext w:val="0"/>
        <w:keepLines w:val="0"/>
        <w:widowControl/>
        <w:suppressLineNumbers w:val="0"/>
        <w:jc w:val="left"/>
        <w:rPr>
          <w:rFonts w:hint="eastAsia"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注：追溯期是自保单生效日向前追溯的期间，是在以期内索赔为承保基础条件下，保险人给予被保险人承保责任期限上的优惠， 即如设定有追溯期，则承保责任期限不仅仅是保险期限，对于在保险期限之前（追溯期内）发生的保险事故，保险人也予以赔偿。</w:t>
      </w:r>
    </w:p>
    <w:p w14:paraId="263871F1">
      <w:pPr>
        <w:keepNext w:val="0"/>
        <w:keepLines w:val="0"/>
        <w:widowControl/>
        <w:suppressLineNumbers w:val="0"/>
        <w:jc w:val="left"/>
        <w:rPr>
          <w:rFonts w:hint="eastAsia"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7.延长报告期特别约定：本保险特设立延长报告期，期限以当地人民法院受理该案件为准。</w:t>
      </w:r>
    </w:p>
    <w:p w14:paraId="0C08F0AD">
      <w:pPr>
        <w:keepNext w:val="0"/>
        <w:keepLines w:val="0"/>
        <w:widowControl/>
        <w:suppressLineNumbers w:val="0"/>
        <w:jc w:val="left"/>
        <w:rPr>
          <w:rFonts w:hint="default"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注：延长报告期是指对于发生在原保单约定的保险期限和追溯期限内的保险事故，只要患者或其近亲属延长报告期内首次向被保险人提出索赔要求，保险人仍然承担赔偿责任。</w:t>
      </w:r>
    </w:p>
    <w:p w14:paraId="29F887B2">
      <w:pPr>
        <w:keepNext w:val="0"/>
        <w:keepLines w:val="0"/>
        <w:widowControl/>
        <w:suppressLineNumbers w:val="0"/>
        <w:jc w:val="left"/>
        <w:rPr>
          <w:rFonts w:hint="default"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8.理赔时效：于生效判决或生效调解后15日内支付。</w:t>
      </w:r>
    </w:p>
    <w:p w14:paraId="0C169171">
      <w:pPr>
        <w:keepNext w:val="0"/>
        <w:keepLines w:val="0"/>
        <w:widowControl/>
        <w:suppressLineNumbers w:val="0"/>
        <w:jc w:val="left"/>
        <w:rPr>
          <w:rFonts w:hint="eastAsia"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9.保险人应针对本项目成立专门的团队承担医疗责任险保险业务，并指定专人与被保险人进行业务对接。</w:t>
      </w:r>
    </w:p>
    <w:p w14:paraId="6EECCB07">
      <w:pPr>
        <w:keepNext w:val="0"/>
        <w:keepLines w:val="0"/>
        <w:widowControl/>
        <w:suppressLineNumbers w:val="0"/>
        <w:jc w:val="left"/>
        <w:rPr>
          <w:rFonts w:hint="default"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10.保险理赔所需的理赔材料，由保险人自行收集，被保险人配合协助。</w:t>
      </w:r>
    </w:p>
    <w:p w14:paraId="5614E531">
      <w:pPr>
        <w:keepNext w:val="0"/>
        <w:keepLines w:val="0"/>
        <w:widowControl/>
        <w:suppressLineNumbers w:val="0"/>
        <w:jc w:val="left"/>
        <w:rPr>
          <w:rFonts w:hint="default" w:ascii="宋体" w:hAnsi="宋体" w:cs="宋体"/>
          <w:color w:val="000000"/>
          <w:kern w:val="0"/>
          <w:sz w:val="32"/>
          <w:szCs w:val="32"/>
          <w:lang w:val="en-US" w:eastAsia="zh-CN" w:bidi="ar"/>
        </w:rPr>
      </w:pPr>
      <w:r>
        <w:rPr>
          <w:rFonts w:hint="eastAsia" w:ascii="宋体" w:hAnsi="宋体" w:cs="宋体"/>
          <w:color w:val="000000"/>
          <w:kern w:val="0"/>
          <w:sz w:val="32"/>
          <w:szCs w:val="32"/>
          <w:lang w:val="en-US" w:eastAsia="zh-CN" w:bidi="ar"/>
        </w:rPr>
        <w:t>11.赔偿支付依据:被保险人、人民法院、贵州省各级医疗纠纷人民调解委员会、贵州省各级卫生健康行政部门组织与患者签订的生效调解协议及人民法院的生效判决。</w:t>
      </w:r>
    </w:p>
    <w:p w14:paraId="0E4AEFA9">
      <w:pPr>
        <w:keepNext w:val="0"/>
        <w:keepLines w:val="0"/>
        <w:widowControl/>
        <w:suppressLineNumbers w:val="0"/>
        <w:jc w:val="left"/>
        <w:rPr>
          <w:rFonts w:hint="default"/>
          <w:lang w:val="en-US" w:eastAsia="zh-CN"/>
        </w:rPr>
      </w:pPr>
      <w:r>
        <w:rPr>
          <w:rFonts w:hint="eastAsia" w:ascii="宋体" w:hAnsi="宋体" w:cs="宋体"/>
          <w:color w:val="000000"/>
          <w:kern w:val="0"/>
          <w:sz w:val="32"/>
          <w:szCs w:val="32"/>
          <w:lang w:val="en-US" w:eastAsia="zh-CN" w:bidi="ar"/>
        </w:rPr>
        <w:t>12.配套服务：被保险人允许保险人按照国家金融监督管理局的经营要求到被保险人营业地点中的指定场所进行手术责任险的推广经营，但不得对被保险人的经营活动产生不良影响，并接受被保险人的监督管理。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0"/>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华文宋体">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4AAD216"/>
    <w:multiLevelType w:val="multilevel"/>
    <w:tmpl w:val="74AAD216"/>
    <w:lvl w:ilvl="0" w:tentative="0">
      <w:start w:val="1"/>
      <w:numFmt w:val="chineseCounting"/>
      <w:suff w:val="nothing"/>
      <w:lvlText w:val="第%1章 "/>
      <w:lvlJc w:val="left"/>
      <w:pPr>
        <w:ind w:left="432" w:hanging="432"/>
      </w:pPr>
      <w:rPr>
        <w:rFonts w:hint="eastAsia"/>
      </w:rPr>
    </w:lvl>
    <w:lvl w:ilvl="1" w:tentative="0">
      <w:start w:val="1"/>
      <w:numFmt w:val="decimal"/>
      <w:isLgl/>
      <w:lvlText w:val="%1.%2."/>
      <w:lvlJc w:val="left"/>
      <w:pPr>
        <w:ind w:left="575" w:hanging="575"/>
      </w:pPr>
      <w:rPr>
        <w:rFonts w:hint="eastAsia"/>
      </w:rPr>
    </w:lvl>
    <w:lvl w:ilvl="2" w:tentative="0">
      <w:start w:val="1"/>
      <w:numFmt w:val="decimal"/>
      <w:pStyle w:val="4"/>
      <w:isLgl/>
      <w:lvlText w:val="%1.%2.%3."/>
      <w:lvlJc w:val="left"/>
      <w:pPr>
        <w:ind w:left="720" w:hanging="720"/>
      </w:pPr>
      <w:rPr>
        <w:rFonts w:hint="eastAsia"/>
      </w:rPr>
    </w:lvl>
    <w:lvl w:ilvl="3" w:tentative="0">
      <w:start w:val="1"/>
      <w:numFmt w:val="decimal"/>
      <w:pStyle w:val="5"/>
      <w:isLgl/>
      <w:lvlText w:val="%1.%2.%3.%4."/>
      <w:lvlJc w:val="left"/>
      <w:pPr>
        <w:ind w:left="864" w:hanging="864"/>
      </w:pPr>
      <w:rPr>
        <w:rFonts w:hint="eastAsia"/>
      </w:rPr>
    </w:lvl>
    <w:lvl w:ilvl="4" w:tentative="0">
      <w:start w:val="1"/>
      <w:numFmt w:val="decimal"/>
      <w:pStyle w:val="6"/>
      <w:isLgl/>
      <w:lvlText w:val="%1.%2.%3.%4.%5."/>
      <w:lvlJc w:val="left"/>
      <w:pPr>
        <w:ind w:left="1008" w:hanging="1008"/>
      </w:pPr>
      <w:rPr>
        <w:rFonts w:hint="eastAsia"/>
      </w:rPr>
    </w:lvl>
    <w:lvl w:ilvl="5" w:tentative="0">
      <w:start w:val="1"/>
      <w:numFmt w:val="decimal"/>
      <w:pStyle w:val="7"/>
      <w:isLgl/>
      <w:lvlText w:val="%1.%2.%3.%4.%5.%6."/>
      <w:lvlJc w:val="left"/>
      <w:pPr>
        <w:ind w:left="1151" w:hanging="1151"/>
      </w:pPr>
      <w:rPr>
        <w:rFonts w:hint="eastAsia"/>
      </w:rPr>
    </w:lvl>
    <w:lvl w:ilvl="6" w:tentative="0">
      <w:start w:val="1"/>
      <w:numFmt w:val="decimal"/>
      <w:pStyle w:val="8"/>
      <w:isLgl/>
      <w:lvlText w:val="%1.%2.%3.%4.%5.%6.%7."/>
      <w:lvlJc w:val="left"/>
      <w:pPr>
        <w:ind w:left="1296" w:hanging="1296"/>
      </w:pPr>
      <w:rPr>
        <w:rFonts w:hint="eastAsia"/>
      </w:rPr>
    </w:lvl>
    <w:lvl w:ilvl="7" w:tentative="0">
      <w:start w:val="1"/>
      <w:numFmt w:val="decimal"/>
      <w:pStyle w:val="9"/>
      <w:isLgl/>
      <w:lvlText w:val="%1.%2.%3.%4.%5.%6.%7.%8."/>
      <w:lvlJc w:val="left"/>
      <w:pPr>
        <w:ind w:left="1440" w:hanging="1440"/>
      </w:pPr>
      <w:rPr>
        <w:rFonts w:hint="eastAsia"/>
      </w:rPr>
    </w:lvl>
    <w:lvl w:ilvl="8" w:tentative="0">
      <w:start w:val="1"/>
      <w:numFmt w:val="decimal"/>
      <w:pStyle w:val="10"/>
      <w:isLgl/>
      <w:lvlText w:val="%1.%2.%3.%4.%5.%6.%7.%8.%9."/>
      <w:lvlJc w:val="left"/>
      <w:pPr>
        <w:ind w:left="1583" w:hanging="1583"/>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BB10C96"/>
    <w:rsid w:val="049D07A1"/>
    <w:rsid w:val="04B46CE2"/>
    <w:rsid w:val="05392FED"/>
    <w:rsid w:val="06046A37"/>
    <w:rsid w:val="06AD6831"/>
    <w:rsid w:val="0BB10C96"/>
    <w:rsid w:val="0DF25A79"/>
    <w:rsid w:val="0EB27F91"/>
    <w:rsid w:val="0F835D86"/>
    <w:rsid w:val="145F527E"/>
    <w:rsid w:val="196B3229"/>
    <w:rsid w:val="19F63AA4"/>
    <w:rsid w:val="1B77374A"/>
    <w:rsid w:val="20CB3E27"/>
    <w:rsid w:val="233F31D1"/>
    <w:rsid w:val="259E6D5D"/>
    <w:rsid w:val="29B56F00"/>
    <w:rsid w:val="2AF84AF6"/>
    <w:rsid w:val="2C0F59BD"/>
    <w:rsid w:val="31F44445"/>
    <w:rsid w:val="34903850"/>
    <w:rsid w:val="37040DA4"/>
    <w:rsid w:val="376B23C1"/>
    <w:rsid w:val="3CB568CD"/>
    <w:rsid w:val="41EA080A"/>
    <w:rsid w:val="47B13711"/>
    <w:rsid w:val="48100C1D"/>
    <w:rsid w:val="4F8908A1"/>
    <w:rsid w:val="549F414F"/>
    <w:rsid w:val="57CD23FF"/>
    <w:rsid w:val="684A74D8"/>
    <w:rsid w:val="6B036F9E"/>
    <w:rsid w:val="6D0B15D5"/>
    <w:rsid w:val="79D37A5E"/>
    <w:rsid w:val="7C3D4BCE"/>
    <w:rsid w:val="7DB379F7"/>
    <w:rsid w:val="7EF614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15"/>
    <w:qFormat/>
    <w:uiPriority w:val="0"/>
    <w:pPr>
      <w:keepNext/>
      <w:keepLines/>
      <w:jc w:val="center"/>
      <w:outlineLvl w:val="0"/>
    </w:pPr>
    <w:rPr>
      <w:rFonts w:ascii="Times New Roman" w:hAnsi="Times New Roman" w:eastAsia="仿宋"/>
      <w:bCs/>
      <w:kern w:val="44"/>
      <w:sz w:val="36"/>
      <w:szCs w:val="44"/>
    </w:rPr>
  </w:style>
  <w:style w:type="paragraph" w:styleId="3">
    <w:name w:val="heading 2"/>
    <w:basedOn w:val="1"/>
    <w:next w:val="1"/>
    <w:link w:val="16"/>
    <w:semiHidden/>
    <w:unhideWhenUsed/>
    <w:qFormat/>
    <w:uiPriority w:val="0"/>
    <w:pPr>
      <w:keepNext/>
      <w:keepLines/>
      <w:jc w:val="left"/>
      <w:outlineLvl w:val="1"/>
    </w:pPr>
    <w:rPr>
      <w:rFonts w:ascii="Cambria" w:hAnsi="Cambria" w:eastAsia="仿宋"/>
      <w:b/>
      <w:bCs/>
      <w:kern w:val="0"/>
      <w:sz w:val="24"/>
      <w:szCs w:val="32"/>
    </w:rPr>
  </w:style>
  <w:style w:type="paragraph" w:styleId="4">
    <w:name w:val="heading 3"/>
    <w:basedOn w:val="1"/>
    <w:next w:val="1"/>
    <w:link w:val="18"/>
    <w:semiHidden/>
    <w:unhideWhenUsed/>
    <w:qFormat/>
    <w:uiPriority w:val="0"/>
    <w:pPr>
      <w:keepNext/>
      <w:keepLines/>
      <w:numPr>
        <w:ilvl w:val="2"/>
        <w:numId w:val="1"/>
      </w:numPr>
      <w:spacing w:before="260" w:beforeLines="0" w:beforeAutospacing="0" w:after="260" w:afterLines="0" w:afterAutospacing="0" w:line="413" w:lineRule="auto"/>
      <w:ind w:left="720" w:hanging="720"/>
      <w:jc w:val="left"/>
      <w:outlineLvl w:val="2"/>
    </w:pPr>
    <w:rPr>
      <w:rFonts w:ascii="Times New Roman" w:hAnsi="Times New Roman" w:eastAsia="华文宋体" w:cs="Times New Roman"/>
      <w:b/>
      <w:sz w:val="30"/>
      <w:szCs w:val="21"/>
    </w:rPr>
  </w:style>
  <w:style w:type="paragraph" w:styleId="5">
    <w:name w:val="heading 4"/>
    <w:basedOn w:val="1"/>
    <w:next w:val="1"/>
    <w:link w:val="17"/>
    <w:semiHidden/>
    <w:unhideWhenUsed/>
    <w:qFormat/>
    <w:uiPriority w:val="0"/>
    <w:pPr>
      <w:numPr>
        <w:ilvl w:val="3"/>
        <w:numId w:val="1"/>
      </w:numPr>
      <w:tabs>
        <w:tab w:val="left" w:pos="420"/>
      </w:tabs>
      <w:ind w:left="864" w:hanging="864"/>
      <w:jc w:val="left"/>
      <w:outlineLvl w:val="3"/>
    </w:pPr>
    <w:rPr>
      <w:rFonts w:ascii="仿宋" w:hAnsi="仿宋" w:eastAsia="华文宋体" w:cs="Times New Roman"/>
      <w:b/>
      <w:snapToGrid w:val="0"/>
      <w:color w:val="000000"/>
      <w:kern w:val="0"/>
      <w:sz w:val="30"/>
      <w:szCs w:val="32"/>
      <w:lang w:eastAsia="en-US"/>
    </w:rPr>
  </w:style>
  <w:style w:type="paragraph" w:styleId="6">
    <w:name w:val="heading 5"/>
    <w:basedOn w:val="1"/>
    <w:next w:val="1"/>
    <w:semiHidden/>
    <w:unhideWhenUsed/>
    <w:qFormat/>
    <w:uiPriority w:val="0"/>
    <w:pPr>
      <w:keepNext/>
      <w:keepLines/>
      <w:numPr>
        <w:ilvl w:val="4"/>
        <w:numId w:val="1"/>
      </w:numPr>
      <w:spacing w:before="280" w:beforeLines="0" w:beforeAutospacing="0" w:after="290" w:afterLines="0" w:afterAutospacing="0" w:line="372" w:lineRule="auto"/>
      <w:ind w:left="1008" w:hanging="1008"/>
      <w:outlineLvl w:val="4"/>
    </w:pPr>
    <w:rPr>
      <w:b/>
      <w:sz w:val="28"/>
    </w:rPr>
  </w:style>
  <w:style w:type="paragraph" w:styleId="7">
    <w:name w:val="heading 6"/>
    <w:basedOn w:val="1"/>
    <w:next w:val="1"/>
    <w:semiHidden/>
    <w:unhideWhenUsed/>
    <w:qFormat/>
    <w:uiPriority w:val="0"/>
    <w:pPr>
      <w:keepNext/>
      <w:keepLines/>
      <w:numPr>
        <w:ilvl w:val="5"/>
        <w:numId w:val="1"/>
      </w:numPr>
      <w:spacing w:before="240" w:beforeLines="0" w:beforeAutospacing="0" w:after="64" w:afterLines="0" w:afterAutospacing="0" w:line="317" w:lineRule="auto"/>
      <w:ind w:left="1151" w:hanging="1151"/>
      <w:outlineLvl w:val="5"/>
    </w:pPr>
    <w:rPr>
      <w:rFonts w:ascii="Arial" w:hAnsi="Arial" w:eastAsia="黑体"/>
      <w:b/>
      <w:sz w:val="24"/>
    </w:rPr>
  </w:style>
  <w:style w:type="paragraph" w:styleId="8">
    <w:name w:val="heading 7"/>
    <w:basedOn w:val="1"/>
    <w:next w:val="1"/>
    <w:semiHidden/>
    <w:unhideWhenUsed/>
    <w:qFormat/>
    <w:uiPriority w:val="0"/>
    <w:pPr>
      <w:keepNext/>
      <w:keepLines/>
      <w:numPr>
        <w:ilvl w:val="6"/>
        <w:numId w:val="1"/>
      </w:numPr>
      <w:spacing w:before="240" w:beforeLines="0" w:beforeAutospacing="0" w:after="64" w:afterLines="0" w:afterAutospacing="0" w:line="317" w:lineRule="auto"/>
      <w:ind w:left="1296" w:hanging="1296"/>
      <w:outlineLvl w:val="6"/>
    </w:pPr>
    <w:rPr>
      <w:b/>
      <w:sz w:val="24"/>
    </w:rPr>
  </w:style>
  <w:style w:type="paragraph" w:styleId="9">
    <w:name w:val="heading 8"/>
    <w:basedOn w:val="1"/>
    <w:next w:val="1"/>
    <w:semiHidden/>
    <w:unhideWhenUsed/>
    <w:qFormat/>
    <w:uiPriority w:val="0"/>
    <w:pPr>
      <w:keepNext/>
      <w:keepLines/>
      <w:numPr>
        <w:ilvl w:val="7"/>
        <w:numId w:val="1"/>
      </w:numPr>
      <w:spacing w:before="240" w:beforeLines="0" w:beforeAutospacing="0" w:after="64" w:afterLines="0" w:afterAutospacing="0" w:line="317" w:lineRule="auto"/>
      <w:ind w:left="1440" w:hanging="1440"/>
      <w:outlineLvl w:val="7"/>
    </w:pPr>
    <w:rPr>
      <w:rFonts w:ascii="Arial" w:hAnsi="Arial" w:eastAsia="黑体"/>
      <w:sz w:val="24"/>
    </w:rPr>
  </w:style>
  <w:style w:type="paragraph" w:styleId="10">
    <w:name w:val="heading 9"/>
    <w:basedOn w:val="1"/>
    <w:next w:val="1"/>
    <w:semiHidden/>
    <w:unhideWhenUsed/>
    <w:qFormat/>
    <w:uiPriority w:val="0"/>
    <w:pPr>
      <w:keepNext/>
      <w:keepLines/>
      <w:numPr>
        <w:ilvl w:val="8"/>
        <w:numId w:val="1"/>
      </w:numPr>
      <w:spacing w:before="240" w:beforeLines="0" w:beforeAutospacing="0" w:after="64" w:afterLines="0" w:afterAutospacing="0" w:line="317" w:lineRule="auto"/>
      <w:ind w:left="1583" w:hanging="1583"/>
      <w:outlineLvl w:val="8"/>
    </w:pPr>
    <w:rPr>
      <w:rFonts w:ascii="Arial" w:hAnsi="Arial" w:eastAsia="黑体"/>
      <w:sz w:val="21"/>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11">
    <w:name w:val="Normal Indent"/>
    <w:basedOn w:val="1"/>
    <w:qFormat/>
    <w:uiPriority w:val="0"/>
    <w:pPr>
      <w:ind w:firstLine="420" w:firstLineChars="200"/>
    </w:pPr>
  </w:style>
  <w:style w:type="paragraph" w:styleId="12">
    <w:name w:val="Normal (Web)"/>
    <w:basedOn w:val="1"/>
    <w:qFormat/>
    <w:uiPriority w:val="0"/>
    <w:pPr>
      <w:spacing w:before="0" w:beforeAutospacing="1" w:after="0" w:afterAutospacing="1"/>
      <w:ind w:left="0" w:right="0"/>
      <w:jc w:val="left"/>
    </w:pPr>
    <w:rPr>
      <w:rFonts w:asciiTheme="minorAscii" w:hAnsiTheme="minorAscii"/>
      <w:kern w:val="0"/>
      <w:sz w:val="24"/>
      <w:lang w:bidi="ar"/>
    </w:rPr>
  </w:style>
  <w:style w:type="character" w:customStyle="1" w:styleId="15">
    <w:name w:val="标题 1 Char"/>
    <w:link w:val="2"/>
    <w:qFormat/>
    <w:uiPriority w:val="0"/>
    <w:rPr>
      <w:rFonts w:ascii="Times New Roman" w:hAnsi="Times New Roman" w:eastAsia="宋体" w:cs="Times New Roman"/>
      <w:b/>
      <w:bCs/>
      <w:kern w:val="44"/>
      <w:sz w:val="44"/>
      <w:szCs w:val="44"/>
    </w:rPr>
  </w:style>
  <w:style w:type="character" w:customStyle="1" w:styleId="16">
    <w:name w:val="标题 2 Char"/>
    <w:link w:val="3"/>
    <w:qFormat/>
    <w:uiPriority w:val="0"/>
    <w:rPr>
      <w:rFonts w:ascii="Cambria" w:hAnsi="Cambria" w:cs="宋体" w:eastAsiaTheme="majorEastAsia"/>
      <w:b/>
      <w:bCs/>
      <w:snapToGrid w:val="0"/>
      <w:color w:val="000000"/>
      <w:kern w:val="0"/>
      <w:sz w:val="30"/>
      <w:szCs w:val="30"/>
      <w:lang w:eastAsia="en-US"/>
    </w:rPr>
  </w:style>
  <w:style w:type="character" w:customStyle="1" w:styleId="17">
    <w:name w:val="标题 4 Char"/>
    <w:link w:val="5"/>
    <w:qFormat/>
    <w:uiPriority w:val="0"/>
    <w:rPr>
      <w:rFonts w:ascii="仿宋" w:hAnsi="仿宋" w:eastAsia="华文宋体" w:cs="Times New Roman"/>
      <w:b/>
      <w:snapToGrid w:val="0"/>
      <w:color w:val="000000"/>
      <w:kern w:val="0"/>
      <w:sz w:val="30"/>
      <w:szCs w:val="32"/>
      <w:lang w:eastAsia="en-US"/>
    </w:rPr>
  </w:style>
  <w:style w:type="character" w:customStyle="1" w:styleId="18">
    <w:name w:val="标题 3 Char"/>
    <w:link w:val="4"/>
    <w:qFormat/>
    <w:uiPriority w:val="0"/>
    <w:rPr>
      <w:rFonts w:ascii="Times New Roman" w:hAnsi="Times New Roman" w:eastAsia="华文宋体" w:cs="Times New Roman"/>
      <w:b/>
      <w:sz w:val="30"/>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865</Words>
  <Characters>914</Characters>
  <Lines>0</Lines>
  <Paragraphs>0</Paragraphs>
  <TotalTime>0</TotalTime>
  <ScaleCrop>false</ScaleCrop>
  <LinksUpToDate>false</LinksUpToDate>
  <CharactersWithSpaces>916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2025-02-18T11:01:00Z</dcterms:created>
  <dc:creator>鹿人甲</dc:creator>
  <cp:lastModifiedBy>代号四幺零</cp:lastModifiedBy>
  <dcterms:modified xsi:type="dcterms:W3CDTF">2025-02-19T02:24:26Z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739A746BCB5B4F909CAA566404B911A6_11</vt:lpwstr>
  </property>
  <property fmtid="{D5CDD505-2E9C-101B-9397-08002B2CF9AE}" pid="4" name="KSOTemplateDocerSaveRecord">
    <vt:lpwstr>eyJoZGlkIjoiZjMxMGJjYjQyZTdjY2I1ZGFkZDQ0YTU0ZDkxMzNhN2UiLCJ1c2VySWQiOiIxMjMwNDA4MzY1In0=</vt:lpwstr>
  </property>
</Properties>
</file>