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10" w:rsidRDefault="00E26C10" w:rsidP="00E26C10">
      <w:r w:rsidRPr="00ED7C4E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E26C10" w:rsidRDefault="00E26C10" w:rsidP="00E26C10">
      <w:r>
        <w:rPr>
          <w:rFonts w:hint="eastAsia"/>
        </w:rPr>
        <w:t>报价项目：</w:t>
      </w:r>
      <w:r w:rsidRPr="00F066C2">
        <w:rPr>
          <w:rFonts w:hint="eastAsia"/>
        </w:rPr>
        <w:t>浙江省人民医院毕节医院金海湖院区第二批小设备采购项目</w:t>
      </w:r>
      <w:r>
        <w:rPr>
          <w:rFonts w:hint="eastAsia"/>
        </w:rPr>
        <w:t>市场询价</w:t>
      </w:r>
    </w:p>
    <w:p w:rsidR="00E26C10" w:rsidRDefault="00E26C10" w:rsidP="00E26C10"/>
    <w:tbl>
      <w:tblPr>
        <w:tblW w:w="93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1"/>
        <w:gridCol w:w="3353"/>
        <w:gridCol w:w="1559"/>
        <w:gridCol w:w="993"/>
        <w:gridCol w:w="963"/>
        <w:gridCol w:w="992"/>
        <w:gridCol w:w="880"/>
      </w:tblGrid>
      <w:tr w:rsidR="00E26C10" w:rsidRPr="00F570B3" w:rsidTr="00AC59A8">
        <w:trPr>
          <w:trHeight w:val="543"/>
          <w:jc w:val="center"/>
        </w:trPr>
        <w:tc>
          <w:tcPr>
            <w:tcW w:w="591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5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1559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99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96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880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53" w:type="dxa"/>
            <w:vMerge w:val="restart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浙江省人民医院毕节医院金海湖院区第二批小设备采购项目（D包）</w:t>
            </w:r>
          </w:p>
        </w:tc>
        <w:tc>
          <w:tcPr>
            <w:tcW w:w="1559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床单位消毒机</w:t>
            </w:r>
          </w:p>
        </w:tc>
        <w:tc>
          <w:tcPr>
            <w:tcW w:w="993" w:type="dxa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床单位消毒机</w:t>
            </w:r>
          </w:p>
        </w:tc>
        <w:tc>
          <w:tcPr>
            <w:tcW w:w="993" w:type="dxa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空气消毒机壁挂式</w:t>
            </w:r>
          </w:p>
        </w:tc>
        <w:tc>
          <w:tcPr>
            <w:tcW w:w="993" w:type="dxa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空气消毒机移动式</w:t>
            </w:r>
          </w:p>
        </w:tc>
        <w:tc>
          <w:tcPr>
            <w:tcW w:w="993" w:type="dxa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空气消毒机移动式</w:t>
            </w:r>
          </w:p>
        </w:tc>
        <w:tc>
          <w:tcPr>
            <w:tcW w:w="993" w:type="dxa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合计金额</w:t>
            </w:r>
          </w:p>
        </w:tc>
        <w:tc>
          <w:tcPr>
            <w:tcW w:w="5387" w:type="dxa"/>
            <w:gridSpan w:val="5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人民币大写：</w:t>
            </w:r>
          </w:p>
        </w:tc>
      </w:tr>
      <w:tr w:rsidR="00E26C10" w:rsidRPr="00F570B3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E26C10" w:rsidRPr="00F570B3" w:rsidRDefault="00E26C10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人民币小写：</w:t>
            </w:r>
          </w:p>
        </w:tc>
      </w:tr>
    </w:tbl>
    <w:p w:rsidR="00E26C10" w:rsidRDefault="00E26C10" w:rsidP="00E26C10"/>
    <w:p w:rsidR="00E26C10" w:rsidRDefault="00E26C10" w:rsidP="00E26C10">
      <w:pPr>
        <w:jc w:val="left"/>
      </w:pPr>
      <w:r>
        <w:rPr>
          <w:rFonts w:hint="eastAsia"/>
        </w:rPr>
        <w:t xml:space="preserve">公司全称（盖章）：                     </w:t>
      </w:r>
    </w:p>
    <w:p w:rsidR="00E26C10" w:rsidRDefault="00E26C10" w:rsidP="00E26C10">
      <w:pPr>
        <w:jc w:val="left"/>
      </w:pPr>
      <w:r>
        <w:rPr>
          <w:rFonts w:hint="eastAsia"/>
        </w:rPr>
        <w:t xml:space="preserve">联系电话：                     </w:t>
      </w:r>
    </w:p>
    <w:p w:rsidR="00E26C10" w:rsidRDefault="00E26C10" w:rsidP="00E26C10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hint="eastAsia"/>
        </w:rPr>
        <w:t>日期：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br w:type="page"/>
      </w:r>
    </w:p>
    <w:p w:rsidR="00407D8C" w:rsidRDefault="00407D8C" w:rsidP="00407D8C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床单位消毒机采购需求</w:t>
      </w:r>
    </w:p>
    <w:p w:rsidR="00407D8C" w:rsidRDefault="00407D8C" w:rsidP="00407D8C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1.采用高效臭氧产生技术，能确保在该消毒机开机15min、30 min、45min、60min时，臭氧含量平均值均应分别不低于1620mg/m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、1880 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、2200mg/m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、2270mg/m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2、床袋（或罩）密闭时臭氧泄漏≤0.1mg/m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3、机身采用简洁流畅的外型设计，外壳采用优质阻燃复合材料ABS工程塑料，表面光滑易擦拭。模具一体成型保证了产品的一致性；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4、结构形式：移动式底部有3个供移动的滑轮，设备顶部有方便推动的一体成型把手；背部有不少于2个专用储存柜而非网兜，用于存放床罩、床袋、抽气与充气管路、可拆卸的制式电源线。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5、检修的便捷性：设备主要部件（臭氧发生装置、电动球阀等）可从设备底部抽拉出来；控制板等电控系统，可以通过顶部机盖轻松取出，即可实现方便地检修。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6、消毒程序为自动控制，一键启动操作，无需人工值守。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7、采用专用抽、充气技术，使臭氧能更好地渗透到物体内部消毒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8、★消毒效果：对大肠杆菌8099的杀灭对数值≥3.00，对金黄色葡萄球菌ATCC6538杀灭对数值≥3.00，对白色念珠菌杀灭对数值≥3.00，。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9、★能有效去除附着在物体上的各种异味、血腥味、霉味、大小便味等。对消毒物品有增白的作用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10、设备程序运行采用抽气-消毒-密闭-解析的模式，各个程序阶段时间均可根据实际需求预先手动设置，设置范围为0~999min，可轻松完成个性化的消毒需求且操作简便。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  <w:sectPr w:rsidR="00407D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12、输入功率：≤140W，宽电压设计，适用于电压波动的地方使用。</w:t>
      </w:r>
    </w:p>
    <w:p w:rsidR="00407D8C" w:rsidRDefault="00407D8C" w:rsidP="00407D8C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空气消毒机壁挂式采购需求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1.消毒因子：等离子体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  <w:vertAlign w:val="superscript"/>
        </w:rPr>
      </w:pPr>
      <w:r>
        <w:rPr>
          <w:rFonts w:ascii="仿宋" w:eastAsia="仿宋" w:hAnsi="仿宋" w:cs="仿宋" w:hint="eastAsia"/>
          <w:sz w:val="30"/>
          <w:szCs w:val="30"/>
        </w:rPr>
        <w:t>2.特定适用空间体积≤100m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3.安装方式：壁挂式安装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4.额定输入功率≤60W，工作电源环境：220V±22V  50Hz±1Hz 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5.循环风量≥850m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/h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6.等离子体密度分布≥2.9×10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17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-3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7.臭氧泄漏量≤0.005mg/m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8.等离子体空气消毒机内部不得装有中、高效过滤器和紫外线杀菌灯。符合WS/T 648-2019《空气消毒机通用卫生要求》第6.4.2条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9.★设备对白色葡萄球菌（8032）进行60Min消毒作业后的杀灭率≥99.95%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10.设备对白色葡萄球菌（8032）进行60Min消毒作业后的菌数≤25（cfu/m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11.设备对空间作业120min后PM2.5颗粒浓度≤0.015（mg/m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12.设备对空间作业120min的洁净空气输出比率≥200（m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/h）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13.设备对100m3空间作业120min后，≥0.5</w:t>
      </w:r>
      <w:r>
        <w:rPr>
          <w:rFonts w:ascii="MS Mincho" w:eastAsia="MS Mincho" w:hAnsi="MS Mincho" w:cs="MS Mincho" w:hint="eastAsia"/>
          <w:sz w:val="30"/>
          <w:szCs w:val="30"/>
        </w:rPr>
        <w:t>㎛</w:t>
      </w:r>
      <w:r>
        <w:rPr>
          <w:rFonts w:ascii="仿宋" w:eastAsia="仿宋" w:hAnsi="仿宋" w:cs="仿宋" w:hint="eastAsia"/>
          <w:sz w:val="30"/>
          <w:szCs w:val="30"/>
        </w:rPr>
        <w:t>悬浮粒子数≤1.7×10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（粒/m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14.★设备对毒株A/PR8/34进行60min消毒作业后去除率≥99.9%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15.★设备对白色念珠菌（10231）进行60Min消毒作业后杀灭率≥99.91%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16.★设备对黑曲霉菌（16404）进行60min消毒作业后杀灭率≥99.91%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  <w:sectPr w:rsidR="00407D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17.★设备对肺炎克雷伯氏菌进行60min消毒作业后去除率≥99.9%</w:t>
      </w:r>
    </w:p>
    <w:p w:rsidR="00407D8C" w:rsidRDefault="00407D8C" w:rsidP="00407D8C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空气消毒机移动式采购需求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1.消毒因子：等离子体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2.特定适用空间体积≤100m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3.安装方式：移动式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4.整机额定输入功率≤85W，工作电源环境：220V±22V  50Hz±1Hz 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5.循环风量≥1120m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/h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6.等离子体密度分布≥5.71×10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18</w:t>
      </w:r>
      <w:r>
        <w:rPr>
          <w:rFonts w:ascii="仿宋" w:eastAsia="仿宋" w:hAnsi="仿宋" w:cs="仿宋" w:hint="eastAsia"/>
          <w:sz w:val="30"/>
          <w:szCs w:val="30"/>
        </w:rPr>
        <w:t>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-3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7.★臭氧泄漏量≤0.005mg/m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8.等离子体空气消毒机内部不得装有中、高效过滤器和紫外线杀菌灯。符合WS/T 648-2019《空气消毒机通用卫生要求》第6.4.2条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9.设备电源安全性：保护接地阻抗≤0.06Ω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10.★设备对白色葡萄球菌（8032）进行60Min消毒作业后的杀灭率≥99.94%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11.设备对白色葡萄球菌（8032）进行60Min消毒作业后的菌数≤23（cfu/m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12.设备对100m3空间作业120min后，0.5μm悬浮粒子数UCL≤1.6×10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（粒/m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13.设备对100m</w:t>
      </w:r>
      <w:r>
        <w:rPr>
          <w:rFonts w:ascii="仿宋" w:eastAsia="仿宋" w:hAnsi="仿宋" w:cs="仿宋" w:hint="eastAsia"/>
          <w:sz w:val="30"/>
          <w:szCs w:val="30"/>
          <w:vertAlign w:val="superscript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空间作业120min后，0.5μm悬浮粒子数均值去除率≥95.8%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14.★设备对毒株A/PR8/34进行60min消毒作业后去除率≥99.9%</w:t>
      </w:r>
    </w:p>
    <w:p w:rsidR="00407D8C" w:rsidRDefault="00407D8C" w:rsidP="00407D8C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15.★设备对肺炎克雷伯氏菌进行60min消毒作业后去除率≥99.9%</w:t>
      </w:r>
    </w:p>
    <w:p w:rsidR="00ED7C4E" w:rsidRPr="00407D8C" w:rsidRDefault="00407D8C" w:rsidP="00BB5702">
      <w:pPr>
        <w:jc w:val="left"/>
      </w:pPr>
      <w:r>
        <w:rPr>
          <w:rFonts w:ascii="仿宋" w:eastAsia="仿宋" w:hAnsi="仿宋" w:cs="仿宋" w:hint="eastAsia"/>
          <w:sz w:val="30"/>
          <w:szCs w:val="30"/>
        </w:rPr>
        <w:t>16.★设备对冠状病毒进行60min消毒作业后去除率≥99.9%</w:t>
      </w:r>
    </w:p>
    <w:sectPr w:rsidR="00ED7C4E" w:rsidRPr="00407D8C" w:rsidSect="00A26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967" w:rsidRDefault="00EF0967" w:rsidP="00ED7C4E">
      <w:r>
        <w:separator/>
      </w:r>
    </w:p>
  </w:endnote>
  <w:endnote w:type="continuationSeparator" w:id="1">
    <w:p w:rsidR="00EF0967" w:rsidRDefault="00EF0967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967" w:rsidRDefault="00EF0967" w:rsidP="00ED7C4E">
      <w:r>
        <w:separator/>
      </w:r>
    </w:p>
  </w:footnote>
  <w:footnote w:type="continuationSeparator" w:id="1">
    <w:p w:rsidR="00EF0967" w:rsidRDefault="00EF0967" w:rsidP="00ED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1435C8"/>
    <w:rsid w:val="0015504E"/>
    <w:rsid w:val="001D3BE4"/>
    <w:rsid w:val="00285F8D"/>
    <w:rsid w:val="0029198D"/>
    <w:rsid w:val="002931DE"/>
    <w:rsid w:val="002B3DC0"/>
    <w:rsid w:val="00382529"/>
    <w:rsid w:val="003902B5"/>
    <w:rsid w:val="003B5D33"/>
    <w:rsid w:val="003E2BE2"/>
    <w:rsid w:val="00407D8C"/>
    <w:rsid w:val="0044214C"/>
    <w:rsid w:val="004670A6"/>
    <w:rsid w:val="004D179A"/>
    <w:rsid w:val="00684E3B"/>
    <w:rsid w:val="006B6DDB"/>
    <w:rsid w:val="00743AAD"/>
    <w:rsid w:val="00784614"/>
    <w:rsid w:val="007C4D91"/>
    <w:rsid w:val="007D3E55"/>
    <w:rsid w:val="00952AF7"/>
    <w:rsid w:val="009A04BF"/>
    <w:rsid w:val="00A26913"/>
    <w:rsid w:val="00AC43FC"/>
    <w:rsid w:val="00B772A9"/>
    <w:rsid w:val="00BB5702"/>
    <w:rsid w:val="00C80C2C"/>
    <w:rsid w:val="00CA51A6"/>
    <w:rsid w:val="00D56F0A"/>
    <w:rsid w:val="00DA53C8"/>
    <w:rsid w:val="00E26C10"/>
    <w:rsid w:val="00ED7C4E"/>
    <w:rsid w:val="00EF0967"/>
    <w:rsid w:val="00F01E94"/>
    <w:rsid w:val="00F066C2"/>
    <w:rsid w:val="00F84022"/>
    <w:rsid w:val="00F84B13"/>
    <w:rsid w:val="00F95CE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7C4E"/>
    <w:pPr>
      <w:jc w:val="center"/>
    </w:pPr>
    <w:rPr>
      <w:rFonts w:ascii="宋体" w:hAnsi="宋体" w:cstheme="minorBidi"/>
      <w:kern w:val="2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311</Words>
  <Characters>1773</Characters>
  <Application>Microsoft Office Word</Application>
  <DocSecurity>0</DocSecurity>
  <Lines>14</Lines>
  <Paragraphs>4</Paragraphs>
  <ScaleCrop>false</ScaleCrop>
  <Company>P R C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Windows User</cp:lastModifiedBy>
  <cp:revision>15</cp:revision>
  <dcterms:created xsi:type="dcterms:W3CDTF">2024-02-27T09:32:00Z</dcterms:created>
  <dcterms:modified xsi:type="dcterms:W3CDTF">2024-09-06T09:17:00Z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