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E9" w:rsidRDefault="00D020E9" w:rsidP="00D020E9">
      <w:r w:rsidRPr="00ED7C4E">
        <w:rPr>
          <w:rFonts w:hint="eastAsia"/>
          <w:u w:val="single"/>
        </w:rPr>
        <w:t xml:space="preserve">            </w:t>
      </w:r>
      <w:r>
        <w:rPr>
          <w:rFonts w:hint="eastAsia"/>
        </w:rPr>
        <w:t>公司 报价单</w:t>
      </w:r>
    </w:p>
    <w:p w:rsidR="00D020E9" w:rsidRDefault="00D020E9" w:rsidP="00D020E9">
      <w:r>
        <w:rPr>
          <w:rFonts w:hint="eastAsia"/>
        </w:rPr>
        <w:t>报价项目：</w:t>
      </w:r>
      <w:r w:rsidRPr="00F066C2">
        <w:rPr>
          <w:rFonts w:hint="eastAsia"/>
        </w:rPr>
        <w:t>浙江省人民医院毕节医院金海湖院区第二批小设备采购项目</w:t>
      </w:r>
      <w:r>
        <w:rPr>
          <w:rFonts w:hint="eastAsia"/>
        </w:rPr>
        <w:t>市场询价</w:t>
      </w:r>
    </w:p>
    <w:p w:rsidR="00D020E9" w:rsidRDefault="00D020E9" w:rsidP="00D020E9"/>
    <w:tbl>
      <w:tblPr>
        <w:tblW w:w="94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1"/>
        <w:gridCol w:w="3353"/>
        <w:gridCol w:w="1559"/>
        <w:gridCol w:w="993"/>
        <w:gridCol w:w="1033"/>
        <w:gridCol w:w="992"/>
        <w:gridCol w:w="951"/>
      </w:tblGrid>
      <w:tr w:rsidR="00D020E9" w:rsidRPr="00F570B3" w:rsidTr="00AC59A8">
        <w:trPr>
          <w:trHeight w:val="543"/>
          <w:jc w:val="center"/>
        </w:trPr>
        <w:tc>
          <w:tcPr>
            <w:tcW w:w="591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53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1559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993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033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单价（元）</w:t>
            </w:r>
          </w:p>
        </w:tc>
        <w:tc>
          <w:tcPr>
            <w:tcW w:w="992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合价（元）</w:t>
            </w:r>
          </w:p>
        </w:tc>
        <w:tc>
          <w:tcPr>
            <w:tcW w:w="951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020E9" w:rsidRPr="00F570B3" w:rsidTr="00AC59A8">
        <w:trPr>
          <w:trHeight w:val="600"/>
          <w:jc w:val="center"/>
        </w:trPr>
        <w:tc>
          <w:tcPr>
            <w:tcW w:w="591" w:type="dxa"/>
            <w:vMerge w:val="restart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353" w:type="dxa"/>
            <w:vMerge w:val="restart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浙江省人民医院毕节医院金海湖院区第二批小设备采购项目（C包）</w:t>
            </w:r>
          </w:p>
        </w:tc>
        <w:tc>
          <w:tcPr>
            <w:tcW w:w="1559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可视喉镜</w:t>
            </w:r>
          </w:p>
        </w:tc>
        <w:tc>
          <w:tcPr>
            <w:tcW w:w="993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033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D020E9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心电图机</w:t>
            </w:r>
          </w:p>
        </w:tc>
        <w:tc>
          <w:tcPr>
            <w:tcW w:w="993" w:type="dxa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D020E9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振动排痰机</w:t>
            </w:r>
          </w:p>
        </w:tc>
        <w:tc>
          <w:tcPr>
            <w:tcW w:w="993" w:type="dxa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D020E9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振动排痰机</w:t>
            </w:r>
          </w:p>
        </w:tc>
        <w:tc>
          <w:tcPr>
            <w:tcW w:w="993" w:type="dxa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医务部</w:t>
            </w:r>
          </w:p>
        </w:tc>
      </w:tr>
      <w:tr w:rsidR="00D020E9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020E9" w:rsidRPr="00F570B3" w:rsidRDefault="00D020E9" w:rsidP="00AC59A8">
            <w:pPr>
              <w:rPr>
                <w:rFonts w:hint="eastAsia"/>
                <w:sz w:val="28"/>
                <w:szCs w:val="28"/>
              </w:rPr>
            </w:pPr>
            <w:r w:rsidRPr="00D020E9">
              <w:rPr>
                <w:rFonts w:hint="eastAsia"/>
                <w:sz w:val="28"/>
                <w:szCs w:val="28"/>
              </w:rPr>
              <w:t>转运心电监护仪</w:t>
            </w:r>
          </w:p>
        </w:tc>
        <w:tc>
          <w:tcPr>
            <w:tcW w:w="993" w:type="dxa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D020E9" w:rsidRPr="00F570B3" w:rsidRDefault="00D020E9" w:rsidP="00AC59A8">
            <w:pPr>
              <w:rPr>
                <w:rFonts w:hint="eastAsia"/>
                <w:sz w:val="28"/>
                <w:szCs w:val="28"/>
              </w:rPr>
            </w:pPr>
            <w:r w:rsidRPr="00D020E9">
              <w:rPr>
                <w:sz w:val="28"/>
                <w:szCs w:val="28"/>
              </w:rPr>
              <w:t>ICU</w:t>
            </w:r>
          </w:p>
        </w:tc>
      </w:tr>
      <w:tr w:rsidR="00D020E9" w:rsidRPr="00F570B3" w:rsidTr="00AC59A8">
        <w:trPr>
          <w:trHeight w:val="600"/>
          <w:jc w:val="center"/>
        </w:trPr>
        <w:tc>
          <w:tcPr>
            <w:tcW w:w="591" w:type="dxa"/>
            <w:vMerge w:val="restart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 w:val="restart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合计金额</w:t>
            </w:r>
          </w:p>
        </w:tc>
        <w:tc>
          <w:tcPr>
            <w:tcW w:w="5528" w:type="dxa"/>
            <w:gridSpan w:val="5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人民币大写：</w:t>
            </w:r>
          </w:p>
        </w:tc>
      </w:tr>
      <w:tr w:rsidR="00D020E9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D020E9" w:rsidRPr="00F570B3" w:rsidRDefault="00D020E9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人民币小写：</w:t>
            </w:r>
          </w:p>
        </w:tc>
      </w:tr>
    </w:tbl>
    <w:p w:rsidR="00D020E9" w:rsidRDefault="00D020E9" w:rsidP="00D020E9"/>
    <w:p w:rsidR="00D020E9" w:rsidRDefault="00D020E9" w:rsidP="00D020E9"/>
    <w:p w:rsidR="00D020E9" w:rsidRDefault="00D020E9" w:rsidP="00D020E9">
      <w:pPr>
        <w:jc w:val="left"/>
      </w:pPr>
      <w:r>
        <w:rPr>
          <w:rFonts w:hint="eastAsia"/>
        </w:rPr>
        <w:t xml:space="preserve">公司全称（盖章）：                     </w:t>
      </w:r>
    </w:p>
    <w:p w:rsidR="00D020E9" w:rsidRDefault="00D020E9" w:rsidP="00D020E9">
      <w:pPr>
        <w:jc w:val="left"/>
      </w:pPr>
      <w:r>
        <w:rPr>
          <w:rFonts w:hint="eastAsia"/>
        </w:rPr>
        <w:t xml:space="preserve">联系电话：                     </w:t>
      </w:r>
    </w:p>
    <w:p w:rsidR="00D020E9" w:rsidRDefault="00D020E9" w:rsidP="00D020E9">
      <w:pPr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hint="eastAsia"/>
        </w:rPr>
        <w:t>日期：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br w:type="page"/>
      </w:r>
    </w:p>
    <w:p w:rsidR="00F43721" w:rsidRDefault="00F43721" w:rsidP="00F43721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可视喉镜采购需求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1.※喉镜由显示部件、镜片支架部件（摄像头、LED灯）、充电器组成，使用时需和有注册证的一次性使用喉镜片配合使用，喉镜不与人体直接接触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2.※配套使用一次性喉镜片有专利技术的镜尖角度和弧度，使摄像头焦距清晰度最大化，更易于气管插管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3.※显示屏尺寸≤3.0英寸液晶显示屏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4.※分体式设计，方便消毒，镜片手柄与显示组件采用双环卡槽式连接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5.※USB读取与存储，仪器带8G内存，可拍照至少10万张，或录像4.5个小时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6.※喉镜片支架长度≤84±6mm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7.※喉镜片支架端宽度≤9.0±1.5mm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8.※喉镜片支架端厚度≤9.0±1.5mm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9.显示器能上下0</w:t>
      </w:r>
      <w:r>
        <w:rPr>
          <w:rFonts w:cs="宋体" w:hint="eastAsia"/>
          <w:sz w:val="30"/>
          <w:szCs w:val="30"/>
        </w:rPr>
        <w:t>º</w:t>
      </w:r>
      <w:r>
        <w:rPr>
          <w:rFonts w:ascii="仿宋" w:eastAsia="仿宋" w:hAnsi="仿宋" w:cs="仿宋" w:hint="eastAsia"/>
          <w:sz w:val="30"/>
          <w:szCs w:val="30"/>
        </w:rPr>
        <w:t>～130</w:t>
      </w:r>
      <w:r>
        <w:rPr>
          <w:rFonts w:cs="宋体" w:hint="eastAsia"/>
          <w:sz w:val="30"/>
          <w:szCs w:val="30"/>
        </w:rPr>
        <w:t>º</w:t>
      </w:r>
      <w:r>
        <w:rPr>
          <w:rFonts w:ascii="仿宋" w:eastAsia="仿宋" w:hAnsi="仿宋" w:cs="仿宋" w:hint="eastAsia"/>
          <w:sz w:val="30"/>
          <w:szCs w:val="30"/>
        </w:rPr>
        <w:t>转动，左右0</w:t>
      </w:r>
      <w:r>
        <w:rPr>
          <w:rFonts w:cs="宋体" w:hint="eastAsia"/>
          <w:sz w:val="30"/>
          <w:szCs w:val="30"/>
        </w:rPr>
        <w:t>º</w:t>
      </w:r>
      <w:r>
        <w:rPr>
          <w:rFonts w:ascii="仿宋" w:eastAsia="仿宋" w:hAnsi="仿宋" w:cs="仿宋" w:hint="eastAsia"/>
          <w:sz w:val="30"/>
          <w:szCs w:val="30"/>
        </w:rPr>
        <w:t>～270</w:t>
      </w:r>
      <w:r>
        <w:rPr>
          <w:rFonts w:cs="宋体" w:hint="eastAsia"/>
          <w:sz w:val="30"/>
          <w:szCs w:val="30"/>
        </w:rPr>
        <w:t>º</w:t>
      </w:r>
      <w:r>
        <w:rPr>
          <w:rFonts w:ascii="仿宋" w:eastAsia="仿宋" w:hAnsi="仿宋" w:cs="仿宋" w:hint="eastAsia"/>
          <w:sz w:val="30"/>
          <w:szCs w:val="30"/>
        </w:rPr>
        <w:t>转动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10.纺锤型短手柄设计，握持舒适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11.图像分辨率≥3.72lp/mm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12.※支持低电量屏幕显示功能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13.充电器输入：100-240VAC,50-60HZ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14.充电器输出：5V，1200mA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15.光源照度：≥150lux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16.※景深：5-100mm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17.充电时间＜3小时,连续放电时间达120分钟以上,充电次数＞300次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18.※视场角：镜前端为弧形设计视场角60°±15%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19.※喉镜片具有防雾功能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  <w:sectPr w:rsidR="00F437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0"/>
          <w:szCs w:val="30"/>
        </w:rPr>
        <w:t>20.使用期限≥6年</w:t>
      </w:r>
    </w:p>
    <w:p w:rsidR="00F43721" w:rsidRDefault="00F43721" w:rsidP="00F43721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心电图机采购需求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1.导联：12导联同步采集、显示、打印。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2.增益：2.5mm/mV、5mm/mV、10mm/mV、20mm/mV、10/5mm/mV、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20/10mm/mV、AGC.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3.滤波类型：交流滤波：50Hz/60Hz，肌电滤波：25Hz/35Hz/45Hz,漂移滤波：0.05Hz/0.1Hz/0.2Hz/0.50Hz，低通滤波：70Hz/100Hz/150Hz。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4.噪声电平：≤30μVp-p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5.频率特性：0.05Hz—150Hz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6.☆时间常数：≥5S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7.输入回路电流：≤50nA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8.☆抗击化电压：±650mV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9.共模拟制比：≥105dB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10.记录速度：5mm/s、10mm/s、12.5mm/s、25mm/s、50mm/s。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11.☆≥12英寸TFT液晶屏，支持触摸屏操作和按键操作。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12.全电脑式键盘设计。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13.☆支持中文手写输入功能。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14.具有打印预览功能，诊断报告修改功能。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15.交直流两用，内置环保耐用型锂电电池，能连续工作2小时以上。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16.支持连接USB打印机，直接打印普通A4纸。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17.具有Wilson（标准导联）和Cabrera 导联两种导联模式。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18.☆可存储回放10000例病人数据。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19.具有导联连接示意图，能准确判定接触不良的电极，提示各个导联脱落的信息。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20.隐藏式提手，美观大方。</w:t>
      </w:r>
    </w:p>
    <w:p w:rsidR="00F43721" w:rsidRDefault="00F43721" w:rsidP="00F43721">
      <w:pPr>
        <w:jc w:val="left"/>
        <w:rPr>
          <w:rFonts w:ascii="仿宋" w:eastAsia="仿宋" w:hAnsi="仿宋" w:cs="仿宋"/>
          <w:sz w:val="30"/>
          <w:szCs w:val="30"/>
        </w:rPr>
        <w:sectPr w:rsidR="00F437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0"/>
          <w:szCs w:val="30"/>
        </w:rPr>
        <w:t>21.通过CFDA、CE认证。</w:t>
      </w:r>
    </w:p>
    <w:p w:rsidR="00F43721" w:rsidRDefault="00F43721" w:rsidP="00F43721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振动排痰机采购需求</w:t>
      </w:r>
    </w:p>
    <w:tbl>
      <w:tblPr>
        <w:tblStyle w:val="a8"/>
        <w:tblW w:w="8522" w:type="dxa"/>
        <w:tblInd w:w="-103" w:type="dxa"/>
        <w:tblLayout w:type="fixed"/>
        <w:tblLook w:val="04A0"/>
      </w:tblPr>
      <w:tblGrid>
        <w:gridCol w:w="909"/>
        <w:gridCol w:w="1732"/>
        <w:gridCol w:w="5881"/>
      </w:tblGrid>
      <w:tr w:rsidR="00F43721" w:rsidTr="00AC59A8">
        <w:tc>
          <w:tcPr>
            <w:tcW w:w="909" w:type="dxa"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7613" w:type="dxa"/>
            <w:gridSpan w:val="2"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技术参数</w:t>
            </w:r>
          </w:p>
        </w:tc>
      </w:tr>
      <w:tr w:rsidR="00F43721" w:rsidTr="00AC59A8">
        <w:tc>
          <w:tcPr>
            <w:tcW w:w="909" w:type="dxa"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7613" w:type="dxa"/>
            <w:gridSpan w:val="2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主机和推车可分离，方便单独使用。设备整体ABS模具成型</w:t>
            </w:r>
          </w:p>
        </w:tc>
      </w:tr>
      <w:tr w:rsidR="00F43721" w:rsidTr="00AC59A8">
        <w:tc>
          <w:tcPr>
            <w:tcW w:w="909" w:type="dxa"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电源电压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A.C. 220V±22V，频率50Hz±10Hz，输入功率160W</w:t>
            </w:r>
          </w:p>
        </w:tc>
      </w:tr>
      <w:tr w:rsidR="00F43721" w:rsidTr="00AC59A8">
        <w:tc>
          <w:tcPr>
            <w:tcW w:w="909" w:type="dxa"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操作方式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触摸按键操作，转换功能和参数一步到位</w:t>
            </w:r>
          </w:p>
        </w:tc>
      </w:tr>
      <w:tr w:rsidR="00F43721" w:rsidTr="00AC59A8">
        <w:tc>
          <w:tcPr>
            <w:tcW w:w="909" w:type="dxa"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操作手柄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可360°旋转</w:t>
            </w:r>
          </w:p>
        </w:tc>
      </w:tr>
      <w:tr w:rsidR="00F43721" w:rsidTr="00AC59A8">
        <w:tc>
          <w:tcPr>
            <w:tcW w:w="909" w:type="dxa"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叩击输出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单路输出，适用于成人和儿童伺服电路设计，使设定振动频率与动力实际输出振动频率保持一致，无功率衰减</w:t>
            </w:r>
          </w:p>
        </w:tc>
      </w:tr>
      <w:tr w:rsidR="00F43721" w:rsidTr="00AC59A8">
        <w:tc>
          <w:tcPr>
            <w:tcW w:w="909" w:type="dxa"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频率控制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10-60Hz，连续可调，高亮度数码管显示，微电脑控制</w:t>
            </w:r>
          </w:p>
        </w:tc>
      </w:tr>
      <w:tr w:rsidR="00F43721" w:rsidTr="00AC59A8">
        <w:tc>
          <w:tcPr>
            <w:tcW w:w="909" w:type="dxa"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时间控制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0-60min，连续可调，高亮度数码管显示，微电脑控制，可自动停机</w:t>
            </w:r>
          </w:p>
        </w:tc>
      </w:tr>
      <w:tr w:rsidR="00F43721" w:rsidTr="00AC59A8">
        <w:tc>
          <w:tcPr>
            <w:tcW w:w="909" w:type="dxa"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输出速度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600转/分-3600转/分</w:t>
            </w:r>
          </w:p>
        </w:tc>
      </w:tr>
      <w:tr w:rsidR="00F43721" w:rsidTr="00AC59A8">
        <w:tc>
          <w:tcPr>
            <w:tcW w:w="909" w:type="dxa"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振动幅度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4mm-8mm 患者漏电流≤40微安</w:t>
            </w:r>
          </w:p>
        </w:tc>
      </w:tr>
      <w:tr w:rsidR="00F43721" w:rsidTr="00AC59A8">
        <w:tc>
          <w:tcPr>
            <w:tcW w:w="909" w:type="dxa"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升级技术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免费程序升级</w:t>
            </w:r>
          </w:p>
        </w:tc>
      </w:tr>
      <w:tr w:rsidR="00F43721" w:rsidTr="00AC59A8">
        <w:tc>
          <w:tcPr>
            <w:tcW w:w="909" w:type="dxa"/>
            <w:vMerge w:val="restart"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叩击头1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直径70mm。聚氨酯海绵，适用于儿童或身体中小的敏感部位，用于儿童体位引流。</w:t>
            </w:r>
          </w:p>
        </w:tc>
      </w:tr>
      <w:tr w:rsidR="00F43721" w:rsidTr="00AC59A8">
        <w:tc>
          <w:tcPr>
            <w:tcW w:w="909" w:type="dxa"/>
            <w:vMerge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叩击头2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直径100mm，软聚氨酯海绵组成，用于老年人或敏感病人体位引流。</w:t>
            </w:r>
          </w:p>
        </w:tc>
      </w:tr>
      <w:tr w:rsidR="00F43721" w:rsidTr="00AC59A8">
        <w:tc>
          <w:tcPr>
            <w:tcW w:w="909" w:type="dxa"/>
            <w:vMerge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叩击头3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直径100mm，较硬滑面橡皮。</w:t>
            </w:r>
          </w:p>
        </w:tc>
      </w:tr>
      <w:tr w:rsidR="00F43721" w:rsidTr="00AC59A8">
        <w:tc>
          <w:tcPr>
            <w:tcW w:w="909" w:type="dxa"/>
            <w:vMerge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叩击头4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轭状，宽度140mm，有两个接触点，用于病人胸、背和前后的两侧治疗。</w:t>
            </w:r>
          </w:p>
        </w:tc>
      </w:tr>
      <w:tr w:rsidR="00F43721" w:rsidTr="00AC59A8">
        <w:tc>
          <w:tcPr>
            <w:tcW w:w="909" w:type="dxa"/>
            <w:vMerge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叩击头5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用于体位引流时从叩击头的整个表面获得完整的叩击效果，使面板产生的振动作用转变为叩击作用。</w:t>
            </w:r>
          </w:p>
        </w:tc>
      </w:tr>
      <w:tr w:rsidR="00F43721" w:rsidTr="00AC59A8">
        <w:tc>
          <w:tcPr>
            <w:tcW w:w="909" w:type="dxa"/>
            <w:vMerge w:val="restart"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12</w:t>
            </w: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叩击模式1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变频15-20HZ;适合手术后危重病人或敏感性病人</w:t>
            </w:r>
          </w:p>
        </w:tc>
      </w:tr>
      <w:tr w:rsidR="00F43721" w:rsidTr="00AC59A8">
        <w:tc>
          <w:tcPr>
            <w:tcW w:w="909" w:type="dxa"/>
            <w:vMerge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叩击模式2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变频范围15-25HZ;适合体质较弱，或瘦小病人</w:t>
            </w:r>
          </w:p>
        </w:tc>
      </w:tr>
      <w:tr w:rsidR="00F43721" w:rsidTr="00AC59A8">
        <w:tc>
          <w:tcPr>
            <w:tcW w:w="909" w:type="dxa"/>
            <w:vMerge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叩击模式3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变频范围20-25HZ;适合体质较好或需要治疗的病人</w:t>
            </w:r>
          </w:p>
        </w:tc>
      </w:tr>
      <w:tr w:rsidR="00F43721" w:rsidTr="00AC59A8">
        <w:tc>
          <w:tcPr>
            <w:tcW w:w="909" w:type="dxa"/>
            <w:vMerge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叩击模式4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变频范围20-30HZ，适合体质强壮或肥胖病人</w:t>
            </w:r>
          </w:p>
        </w:tc>
      </w:tr>
      <w:tr w:rsidR="00F43721" w:rsidTr="00AC59A8">
        <w:tc>
          <w:tcPr>
            <w:tcW w:w="909" w:type="dxa"/>
            <w:vMerge/>
            <w:vAlign w:val="center"/>
          </w:tcPr>
          <w:p w:rsidR="00F43721" w:rsidRDefault="00F43721" w:rsidP="00AC59A8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叩击模式5</w:t>
            </w:r>
          </w:p>
        </w:tc>
        <w:tc>
          <w:tcPr>
            <w:tcW w:w="5881" w:type="dxa"/>
            <w:vAlign w:val="center"/>
          </w:tcPr>
          <w:p w:rsidR="00F43721" w:rsidRDefault="00F43721" w:rsidP="00AC59A8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医务人员可按照自己的叩击经验设计叩击程序</w:t>
            </w:r>
          </w:p>
        </w:tc>
      </w:tr>
    </w:tbl>
    <w:p w:rsidR="003F0FCE" w:rsidRDefault="003F0FCE" w:rsidP="007379BD">
      <w:pPr>
        <w:jc w:val="both"/>
      </w:pPr>
    </w:p>
    <w:p w:rsidR="003F0FCE" w:rsidRDefault="003F0FCE">
      <w:pPr>
        <w:jc w:val="left"/>
      </w:pPr>
      <w:r>
        <w:br w:type="page"/>
      </w:r>
    </w:p>
    <w:p w:rsidR="003F0FCE" w:rsidRDefault="003F0FCE" w:rsidP="003F0FCE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转运心电监护仪采购需求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1.★适用于成人、小儿、新生儿的监测。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2.工作大气压力57.0 – 107.4 kPa，满足高原地区的使用。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3.★转运监护仪，满足救护车，直升飞机和固定翼飞机,通过相关转运标准。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4.★≥5英寸彩色触摸显示屏，小巧便携。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5.IP44防尘防水，易清洁和适用医院内外不同临床救治环境。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6.坚固耐用，抗1.2米6面跌落，满足转运过程中的复杂临床救治环境。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7.整机无风扇设计。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8.★内置锂电池供电，支持≥5小时的持续监测。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9.内置DC电源接口，可以进行车载充电。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10.★支持3/5导心电，阻抗呼吸，血氧、无创血压、2通道体温。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11.支持2通道有创血压及模拟输出/除颤同步。 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12.转运监护仪支持插入床旁监护仪插槽作为参数模块使用，即插即用。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13.具有多导心电监护算法 ，同步分析至少2通道心电波形，能够良好抗干扰。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14.心率测量范围：成人15 -300 bpm，小儿/新生儿15 - 350 bpm。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15.波速提供50mm/s，25 mm/s、12.5 mm/s、6.25 mm/s可选。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16.滤波模式提供诊断模式（0.05 -150Hz），监护模式（0.5 -40Hz），ST模式（0.05 - 40Hz），手术模式（1-20Hz）。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17.★提供≥20种心律失常事件的分析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18.提供ST段分析，提供显示和存储ST值和每个ST的模板。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19.具有QT/QTc测量功能，提供QT，QTc和ΔQTc参数值。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20.可显示弱灌注指数（PI）。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21.提供双通道体温测量，提供两通道体温测量差值显示。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22.提供手动、自动间隔、连续、序列四种无创血压测量模式。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23.IBP测量范围：-50 – 360 mmHg，支持实时PPV测量。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24.≥1000条事件回顾。每条报警事件至少能够存储32秒三道相关波形，以及报警触发时所有测量参数值。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25.≥1000条NIBP测量结果回顾。</w:t>
      </w:r>
    </w:p>
    <w:p w:rsidR="003F0FCE" w:rsidRDefault="003F0FCE" w:rsidP="003F0FC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26.≥46小时全息波形回顾。</w:t>
      </w:r>
    </w:p>
    <w:p w:rsidR="00ED7C4E" w:rsidRPr="003F0FCE" w:rsidRDefault="003F0FCE" w:rsidP="003F0FCE">
      <w:pPr>
        <w:jc w:val="both"/>
      </w:pPr>
      <w:r>
        <w:rPr>
          <w:rFonts w:ascii="仿宋" w:eastAsia="仿宋" w:hAnsi="仿宋" w:cs="仿宋" w:hint="eastAsia"/>
          <w:sz w:val="30"/>
          <w:szCs w:val="30"/>
        </w:rPr>
        <w:t>27.≥120小时趋势数据回顾。</w:t>
      </w:r>
    </w:p>
    <w:sectPr w:rsidR="00ED7C4E" w:rsidRPr="003F0FCE" w:rsidSect="00A26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B1A" w:rsidRDefault="00B01B1A" w:rsidP="00ED7C4E">
      <w:r>
        <w:separator/>
      </w:r>
    </w:p>
  </w:endnote>
  <w:endnote w:type="continuationSeparator" w:id="1">
    <w:p w:rsidR="00B01B1A" w:rsidRDefault="00B01B1A" w:rsidP="00ED7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B1A" w:rsidRDefault="00B01B1A" w:rsidP="00ED7C4E">
      <w:r>
        <w:separator/>
      </w:r>
    </w:p>
  </w:footnote>
  <w:footnote w:type="continuationSeparator" w:id="1">
    <w:p w:rsidR="00B01B1A" w:rsidRDefault="00B01B1A" w:rsidP="00ED7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8EF681"/>
    <w:multiLevelType w:val="singleLevel"/>
    <w:tmpl w:val="AD8EF6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6258FA"/>
    <w:multiLevelType w:val="singleLevel"/>
    <w:tmpl w:val="EE6258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820447"/>
    <w:multiLevelType w:val="singleLevel"/>
    <w:tmpl w:val="F78204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E306665"/>
    <w:multiLevelType w:val="singleLevel"/>
    <w:tmpl w:val="3E3066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66F2A4B"/>
    <w:multiLevelType w:val="singleLevel"/>
    <w:tmpl w:val="566F2A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9017991"/>
    <w:multiLevelType w:val="singleLevel"/>
    <w:tmpl w:val="590179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F5B00D2"/>
    <w:multiLevelType w:val="singleLevel"/>
    <w:tmpl w:val="6F5B00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1MWNlMzJjZDVkZjAxMzA5YjhkZDEzZmExMjVhZWMifQ=="/>
  </w:docVars>
  <w:rsids>
    <w:rsidRoot w:val="00AC43FC"/>
    <w:rsid w:val="001435C8"/>
    <w:rsid w:val="0015504E"/>
    <w:rsid w:val="001D3BE4"/>
    <w:rsid w:val="001D6680"/>
    <w:rsid w:val="0029198D"/>
    <w:rsid w:val="002931DE"/>
    <w:rsid w:val="00382529"/>
    <w:rsid w:val="003902B5"/>
    <w:rsid w:val="003B5D33"/>
    <w:rsid w:val="003E2BE2"/>
    <w:rsid w:val="003F0FCE"/>
    <w:rsid w:val="0044214C"/>
    <w:rsid w:val="004D179A"/>
    <w:rsid w:val="005D6226"/>
    <w:rsid w:val="00627F14"/>
    <w:rsid w:val="00684E3B"/>
    <w:rsid w:val="006B6DDB"/>
    <w:rsid w:val="007379BD"/>
    <w:rsid w:val="00743AAD"/>
    <w:rsid w:val="00784614"/>
    <w:rsid w:val="007C4D91"/>
    <w:rsid w:val="007D3E55"/>
    <w:rsid w:val="00952AF7"/>
    <w:rsid w:val="00A26913"/>
    <w:rsid w:val="00A83536"/>
    <w:rsid w:val="00AC43FC"/>
    <w:rsid w:val="00B01B1A"/>
    <w:rsid w:val="00B772A9"/>
    <w:rsid w:val="00C80C2C"/>
    <w:rsid w:val="00CA51A6"/>
    <w:rsid w:val="00D020E9"/>
    <w:rsid w:val="00DA53C8"/>
    <w:rsid w:val="00ED6661"/>
    <w:rsid w:val="00ED7C4E"/>
    <w:rsid w:val="00F01E94"/>
    <w:rsid w:val="00F066C2"/>
    <w:rsid w:val="00F43721"/>
    <w:rsid w:val="00F83B1C"/>
    <w:rsid w:val="00F84022"/>
    <w:rsid w:val="00F84B13"/>
    <w:rsid w:val="00F95CE0"/>
    <w:rsid w:val="00FB2F4F"/>
    <w:rsid w:val="033E1BFE"/>
    <w:rsid w:val="041376E6"/>
    <w:rsid w:val="06F91BC7"/>
    <w:rsid w:val="07936306"/>
    <w:rsid w:val="0B797F11"/>
    <w:rsid w:val="0F5A4B6B"/>
    <w:rsid w:val="1235718D"/>
    <w:rsid w:val="16A4694B"/>
    <w:rsid w:val="17141B46"/>
    <w:rsid w:val="17667DE9"/>
    <w:rsid w:val="19D77386"/>
    <w:rsid w:val="1AFD523A"/>
    <w:rsid w:val="1B4F315C"/>
    <w:rsid w:val="1EC40092"/>
    <w:rsid w:val="22757FF3"/>
    <w:rsid w:val="24CA5ED0"/>
    <w:rsid w:val="25BE7A27"/>
    <w:rsid w:val="25CC175F"/>
    <w:rsid w:val="25DA0450"/>
    <w:rsid w:val="27D56FF1"/>
    <w:rsid w:val="2B053749"/>
    <w:rsid w:val="2D263E4A"/>
    <w:rsid w:val="2E691D7B"/>
    <w:rsid w:val="2E794ABE"/>
    <w:rsid w:val="32821B23"/>
    <w:rsid w:val="36590DED"/>
    <w:rsid w:val="384B051F"/>
    <w:rsid w:val="3A08699C"/>
    <w:rsid w:val="3C915C0E"/>
    <w:rsid w:val="3D2C6A1C"/>
    <w:rsid w:val="3EA36C7E"/>
    <w:rsid w:val="4182569C"/>
    <w:rsid w:val="42A34393"/>
    <w:rsid w:val="42A46591"/>
    <w:rsid w:val="46CC57EA"/>
    <w:rsid w:val="47484C91"/>
    <w:rsid w:val="482F7BFF"/>
    <w:rsid w:val="4A1E5A53"/>
    <w:rsid w:val="4A9C592C"/>
    <w:rsid w:val="51916E82"/>
    <w:rsid w:val="53894668"/>
    <w:rsid w:val="53BA17D6"/>
    <w:rsid w:val="55BF6CCD"/>
    <w:rsid w:val="586E207E"/>
    <w:rsid w:val="5B2353A2"/>
    <w:rsid w:val="5CFE0AC8"/>
    <w:rsid w:val="62E53885"/>
    <w:rsid w:val="657809E0"/>
    <w:rsid w:val="66C27892"/>
    <w:rsid w:val="695347F7"/>
    <w:rsid w:val="696316B8"/>
    <w:rsid w:val="6C4E3951"/>
    <w:rsid w:val="6E522AE8"/>
    <w:rsid w:val="6FBE3493"/>
    <w:rsid w:val="71207B73"/>
    <w:rsid w:val="7352461E"/>
    <w:rsid w:val="750A13FE"/>
    <w:rsid w:val="77CE5B33"/>
    <w:rsid w:val="7D070B44"/>
    <w:rsid w:val="7E8B4E88"/>
    <w:rsid w:val="7E941F8F"/>
    <w:rsid w:val="7FDA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D7C4E"/>
    <w:pPr>
      <w:jc w:val="center"/>
    </w:pPr>
    <w:rPr>
      <w:rFonts w:ascii="宋体" w:hAnsi="宋体" w:cstheme="minorBidi"/>
      <w:kern w:val="2"/>
      <w:sz w:val="32"/>
      <w:szCs w:val="32"/>
    </w:rPr>
  </w:style>
  <w:style w:type="paragraph" w:styleId="3">
    <w:name w:val="heading 3"/>
    <w:uiPriority w:val="1"/>
    <w:qFormat/>
    <w:rsid w:val="00A26913"/>
    <w:pPr>
      <w:widowControl w:val="0"/>
      <w:spacing w:before="50"/>
      <w:ind w:left="1433"/>
      <w:jc w:val="both"/>
      <w:outlineLvl w:val="2"/>
    </w:pPr>
    <w:rPr>
      <w:rFonts w:ascii="仿宋" w:eastAsia="仿宋" w:hAnsi="仿宋" w:cs="仿宋"/>
      <w:b/>
      <w:bCs/>
      <w:kern w:val="2"/>
      <w:sz w:val="36"/>
      <w:szCs w:val="36"/>
    </w:rPr>
  </w:style>
  <w:style w:type="paragraph" w:styleId="4">
    <w:name w:val="heading 4"/>
    <w:uiPriority w:val="1"/>
    <w:qFormat/>
    <w:rsid w:val="00A26913"/>
    <w:pPr>
      <w:widowControl w:val="0"/>
      <w:spacing w:before="151"/>
      <w:ind w:left="1013"/>
      <w:jc w:val="both"/>
      <w:outlineLvl w:val="3"/>
    </w:pPr>
    <w:rPr>
      <w:rFonts w:ascii="仿宋" w:eastAsia="仿宋" w:hAnsi="仿宋" w:cs="仿宋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qFormat/>
    <w:rsid w:val="00A26913"/>
    <w:pPr>
      <w:widowControl w:val="0"/>
      <w:jc w:val="both"/>
    </w:pPr>
    <w:rPr>
      <w:rFonts w:ascii="仿宋" w:eastAsia="仿宋" w:hAnsi="仿宋" w:cs="仿宋"/>
      <w:kern w:val="2"/>
      <w:sz w:val="32"/>
      <w:szCs w:val="32"/>
    </w:rPr>
  </w:style>
  <w:style w:type="paragraph" w:styleId="a4">
    <w:name w:val="Body Text Indent"/>
    <w:autoRedefine/>
    <w:qFormat/>
    <w:rsid w:val="00A26913"/>
    <w:pPr>
      <w:widowControl w:val="0"/>
      <w:ind w:firstLineChars="200" w:firstLine="560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a5">
    <w:name w:val="footer"/>
    <w:basedOn w:val="a"/>
    <w:link w:val="Char"/>
    <w:uiPriority w:val="99"/>
    <w:qFormat/>
    <w:rsid w:val="00A2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rsid w:val="00A2691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autoRedefine/>
    <w:qFormat/>
    <w:rsid w:val="00A2691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autoRedefine/>
    <w:qFormat/>
    <w:rsid w:val="00A2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autoRedefine/>
    <w:qFormat/>
    <w:rsid w:val="00A26913"/>
    <w:rPr>
      <w:b/>
    </w:rPr>
  </w:style>
  <w:style w:type="character" w:customStyle="1" w:styleId="font01">
    <w:name w:val="font01"/>
    <w:basedOn w:val="a0"/>
    <w:qFormat/>
    <w:rsid w:val="00A2691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A26913"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paragraph" w:styleId="aa">
    <w:name w:val="List Paragraph"/>
    <w:uiPriority w:val="1"/>
    <w:qFormat/>
    <w:rsid w:val="00A26913"/>
    <w:pPr>
      <w:widowControl w:val="0"/>
      <w:ind w:left="1013" w:firstLine="640"/>
      <w:jc w:val="both"/>
    </w:pPr>
    <w:rPr>
      <w:rFonts w:ascii="仿宋" w:eastAsia="仿宋" w:hAnsi="仿宋" w:cs="仿宋"/>
      <w:kern w:val="2"/>
      <w:sz w:val="21"/>
      <w:szCs w:val="24"/>
    </w:rPr>
  </w:style>
  <w:style w:type="character" w:customStyle="1" w:styleId="Char0">
    <w:name w:val="页眉 Char"/>
    <w:basedOn w:val="a0"/>
    <w:link w:val="a6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">
    <w:name w:val="p"/>
    <w:basedOn w:val="a"/>
    <w:rsid w:val="00A26913"/>
    <w:pPr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ab">
    <w:name w:val="Balloon Text"/>
    <w:basedOn w:val="a"/>
    <w:link w:val="Char1"/>
    <w:rsid w:val="00ED7C4E"/>
    <w:rPr>
      <w:sz w:val="18"/>
      <w:szCs w:val="18"/>
    </w:rPr>
  </w:style>
  <w:style w:type="character" w:customStyle="1" w:styleId="Char1">
    <w:name w:val="批注框文本 Char"/>
    <w:basedOn w:val="a0"/>
    <w:link w:val="ab"/>
    <w:rsid w:val="00ED7C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443</Words>
  <Characters>2526</Characters>
  <Application>Microsoft Office Word</Application>
  <DocSecurity>0</DocSecurity>
  <Lines>21</Lines>
  <Paragraphs>5</Paragraphs>
  <ScaleCrop>false</ScaleCrop>
  <Company>P R C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张峰</dc:creator>
  <cp:lastModifiedBy>Windows User</cp:lastModifiedBy>
  <cp:revision>16</cp:revision>
  <dcterms:created xsi:type="dcterms:W3CDTF">2024-02-27T09:32:00Z</dcterms:created>
  <dcterms:modified xsi:type="dcterms:W3CDTF">2024-09-06T09:16:00Z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E8212697D8534207AE79BAD236A84B16_13</vt:lpwstr>
  </property>
</Properties>
</file>