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DC" w:rsidRDefault="00292ADC" w:rsidP="00292ADC">
      <w:r w:rsidRPr="00ED7C4E">
        <w:rPr>
          <w:rFonts w:hint="eastAsia"/>
          <w:u w:val="single"/>
        </w:rPr>
        <w:t xml:space="preserve">            </w:t>
      </w:r>
      <w:r>
        <w:rPr>
          <w:rFonts w:hint="eastAsia"/>
        </w:rPr>
        <w:t>公司 报价单</w:t>
      </w:r>
    </w:p>
    <w:p w:rsidR="00292ADC" w:rsidRDefault="00292ADC" w:rsidP="00292ADC">
      <w:r>
        <w:rPr>
          <w:rFonts w:hint="eastAsia"/>
        </w:rPr>
        <w:t>报价项目：</w:t>
      </w:r>
      <w:r w:rsidRPr="00F066C2">
        <w:rPr>
          <w:rFonts w:hint="eastAsia"/>
        </w:rPr>
        <w:t>浙江省人民医院毕节医院金海湖院区第二批小设备采购项目</w:t>
      </w:r>
      <w:r>
        <w:rPr>
          <w:rFonts w:hint="eastAsia"/>
        </w:rPr>
        <w:t>市场询价</w:t>
      </w:r>
    </w:p>
    <w:p w:rsidR="00292ADC" w:rsidRDefault="00292ADC" w:rsidP="00292ADC"/>
    <w:tbl>
      <w:tblPr>
        <w:tblW w:w="94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1"/>
        <w:gridCol w:w="3353"/>
        <w:gridCol w:w="1559"/>
        <w:gridCol w:w="993"/>
        <w:gridCol w:w="1033"/>
        <w:gridCol w:w="992"/>
        <w:gridCol w:w="951"/>
      </w:tblGrid>
      <w:tr w:rsidR="00292ADC" w:rsidTr="00AC59A8">
        <w:trPr>
          <w:trHeight w:val="543"/>
          <w:jc w:val="center"/>
        </w:trPr>
        <w:tc>
          <w:tcPr>
            <w:tcW w:w="591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353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采购项目名称</w:t>
            </w:r>
          </w:p>
        </w:tc>
        <w:tc>
          <w:tcPr>
            <w:tcW w:w="1559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设备名称</w:t>
            </w:r>
          </w:p>
        </w:tc>
        <w:tc>
          <w:tcPr>
            <w:tcW w:w="993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033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单价（元）</w:t>
            </w:r>
          </w:p>
        </w:tc>
        <w:tc>
          <w:tcPr>
            <w:tcW w:w="992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合价（元）</w:t>
            </w:r>
          </w:p>
        </w:tc>
        <w:tc>
          <w:tcPr>
            <w:tcW w:w="951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292ADC" w:rsidTr="00AC59A8">
        <w:trPr>
          <w:trHeight w:val="600"/>
          <w:jc w:val="center"/>
        </w:trPr>
        <w:tc>
          <w:tcPr>
            <w:tcW w:w="591" w:type="dxa"/>
            <w:vMerge w:val="restart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353" w:type="dxa"/>
            <w:vMerge w:val="restart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浙江省人民医院毕节医院金海湖院区第二批小设备采购项目（A包）</w:t>
            </w:r>
          </w:p>
        </w:tc>
        <w:tc>
          <w:tcPr>
            <w:tcW w:w="1559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空气波压力循环治疗仪（床旁）</w:t>
            </w:r>
          </w:p>
        </w:tc>
        <w:tc>
          <w:tcPr>
            <w:tcW w:w="993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</w:p>
        </w:tc>
      </w:tr>
      <w:tr w:rsidR="00292ADC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空气波压力治疗仪</w:t>
            </w:r>
          </w:p>
        </w:tc>
        <w:tc>
          <w:tcPr>
            <w:tcW w:w="993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医务部</w:t>
            </w:r>
          </w:p>
        </w:tc>
      </w:tr>
      <w:tr w:rsidR="00292ADC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亚低温治疗仪</w:t>
            </w:r>
          </w:p>
        </w:tc>
        <w:tc>
          <w:tcPr>
            <w:tcW w:w="993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</w:p>
        </w:tc>
      </w:tr>
      <w:tr w:rsidR="00292ADC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气垫床</w:t>
            </w:r>
          </w:p>
        </w:tc>
        <w:tc>
          <w:tcPr>
            <w:tcW w:w="993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ICU</w:t>
            </w:r>
          </w:p>
        </w:tc>
      </w:tr>
      <w:tr w:rsidR="00292ADC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气垫床</w:t>
            </w:r>
          </w:p>
        </w:tc>
        <w:tc>
          <w:tcPr>
            <w:tcW w:w="993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医务部</w:t>
            </w:r>
          </w:p>
        </w:tc>
      </w:tr>
      <w:tr w:rsidR="00292ADC" w:rsidTr="00AC59A8">
        <w:trPr>
          <w:trHeight w:val="600"/>
          <w:jc w:val="center"/>
        </w:trPr>
        <w:tc>
          <w:tcPr>
            <w:tcW w:w="591" w:type="dxa"/>
            <w:vMerge w:val="restart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 w:val="restart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合计金额</w:t>
            </w:r>
          </w:p>
        </w:tc>
        <w:tc>
          <w:tcPr>
            <w:tcW w:w="5528" w:type="dxa"/>
            <w:gridSpan w:val="5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人民币大写：</w:t>
            </w:r>
          </w:p>
        </w:tc>
      </w:tr>
      <w:tr w:rsidR="00292ADC" w:rsidTr="00AC59A8">
        <w:trPr>
          <w:trHeight w:val="600"/>
          <w:jc w:val="center"/>
        </w:trPr>
        <w:tc>
          <w:tcPr>
            <w:tcW w:w="591" w:type="dxa"/>
            <w:vMerge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  <w:vMerge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292ADC" w:rsidRPr="00F570B3" w:rsidRDefault="00292ADC" w:rsidP="00AC59A8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人民币小写：</w:t>
            </w:r>
          </w:p>
        </w:tc>
      </w:tr>
    </w:tbl>
    <w:p w:rsidR="00292ADC" w:rsidRDefault="00292ADC" w:rsidP="00292ADC"/>
    <w:p w:rsidR="00292ADC" w:rsidRDefault="00292ADC" w:rsidP="00292ADC"/>
    <w:p w:rsidR="00292ADC" w:rsidRDefault="00292ADC" w:rsidP="00292ADC">
      <w:pPr>
        <w:jc w:val="left"/>
      </w:pPr>
      <w:r>
        <w:rPr>
          <w:rFonts w:hint="eastAsia"/>
        </w:rPr>
        <w:t xml:space="preserve">公司全称（盖章）：                     </w:t>
      </w:r>
    </w:p>
    <w:p w:rsidR="00292ADC" w:rsidRDefault="00292ADC" w:rsidP="00292ADC">
      <w:pPr>
        <w:jc w:val="left"/>
      </w:pPr>
      <w:r>
        <w:rPr>
          <w:rFonts w:hint="eastAsia"/>
        </w:rPr>
        <w:lastRenderedPageBreak/>
        <w:t xml:space="preserve">联系电话：                     </w:t>
      </w:r>
    </w:p>
    <w:p w:rsidR="00292ADC" w:rsidRDefault="00292ADC" w:rsidP="00292ADC">
      <w:pPr>
        <w:jc w:val="lef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>
        <w:rPr>
          <w:rFonts w:hint="eastAsia"/>
        </w:rPr>
        <w:t>日期：</w:t>
      </w:r>
      <w: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br w:type="page"/>
      </w:r>
    </w:p>
    <w:p w:rsidR="00ED7C4E" w:rsidRPr="005E5B8D" w:rsidRDefault="00ED7C4E" w:rsidP="00ED7C4E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5E5B8D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空气波压力循环治疗仪（床旁）/空气波压力治疗仪采购需求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治疗仪压力设置范围,5-25kpa，精度±3kpa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1.1工作方式:连续工作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星液淋巴循环相关的诸多、超压报警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1.2欠压报警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仪器压力超过30 kpa ，长鸣报警，停止工作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完成设定的治疗时间后报警，断续报警，停止工作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1.3结束报警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仪器压力低于设定压力，间断鸣声报警，停止工作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安全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1.4有线手柄遥控器可远程控制主机停止工作，患者感觉不适，可随时关机，确保自身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00-99，调节步长为1．单位有分钟／小时两种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2、主要技术参数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2.1时间数字显示范围，,0-99，调节步长为1，单位有分钟-小时两种。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2.2循环治疗功能： P1-P5（五种模式）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2.3输入功率：≤110VA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3.配置要求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3.1配件1个上肢四腔气囊、1个下肢四腔气囊、1DVT气囊（标配）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lastRenderedPageBreak/>
        <w:t>3.2主机：1台。</w:t>
      </w:r>
    </w:p>
    <w:p w:rsidR="00ED7C4E" w:rsidRPr="005E5B8D" w:rsidRDefault="00ED7C4E" w:rsidP="003902B5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3.3配件</w:t>
      </w:r>
    </w:p>
    <w:p w:rsidR="00ED7C4E" w:rsidRPr="005E5B8D" w:rsidRDefault="00ED7C4E" w:rsidP="003902B5">
      <w:pPr>
        <w:jc w:val="lef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  <w:sectPr w:rsidR="00ED7C4E" w:rsidRPr="005E5B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3.4导气管：1个一分一导气管、1个一分二导气管</w:t>
      </w:r>
    </w:p>
    <w:p w:rsidR="00ED7C4E" w:rsidRPr="005E5B8D" w:rsidRDefault="00ED7C4E" w:rsidP="00ED7C4E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5E5B8D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气垫床采购需求</w:t>
      </w:r>
    </w:p>
    <w:p w:rsidR="00ED7C4E" w:rsidRPr="005E5B8D" w:rsidRDefault="00ED7C4E" w:rsidP="00ED7C4E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床垫基本参数</w:t>
      </w:r>
    </w:p>
    <w:tbl>
      <w:tblPr>
        <w:tblStyle w:val="a8"/>
        <w:tblW w:w="8522" w:type="dxa"/>
        <w:tblInd w:w="-103" w:type="dxa"/>
        <w:tblLayout w:type="fixed"/>
        <w:tblLook w:val="04A0"/>
      </w:tblPr>
      <w:tblGrid>
        <w:gridCol w:w="4261"/>
        <w:gridCol w:w="4261"/>
      </w:tblGrid>
      <w:tr w:rsidR="00ED7C4E" w:rsidRPr="005E5B8D" w:rsidTr="006B437F"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床管根数</w:t>
            </w:r>
          </w:p>
        </w:tc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20根</w:t>
            </w:r>
          </w:p>
        </w:tc>
      </w:tr>
      <w:tr w:rsidR="00ED7C4E" w:rsidRPr="005E5B8D" w:rsidTr="006B437F"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床垫材质</w:t>
            </w:r>
          </w:p>
        </w:tc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0.32mm厚度布料及尼龙PVC医用级布料</w:t>
            </w:r>
          </w:p>
        </w:tc>
      </w:tr>
      <w:tr w:rsidR="00ED7C4E" w:rsidRPr="005E5B8D" w:rsidTr="006B437F"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充气后（长*宽*高）</w:t>
            </w:r>
          </w:p>
        </w:tc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195*85*60mm，允许±10mm误差</w:t>
            </w:r>
          </w:p>
        </w:tc>
      </w:tr>
      <w:tr w:rsidR="00ED7C4E" w:rsidRPr="005E5B8D" w:rsidTr="006B437F"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承受压力</w:t>
            </w:r>
          </w:p>
        </w:tc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≤135KG</w:t>
            </w:r>
          </w:p>
        </w:tc>
      </w:tr>
    </w:tbl>
    <w:p w:rsidR="00ED7C4E" w:rsidRPr="005E5B8D" w:rsidRDefault="00ED7C4E" w:rsidP="00ED7C4E">
      <w:pPr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气泵</w:t>
      </w:r>
    </w:p>
    <w:tbl>
      <w:tblPr>
        <w:tblStyle w:val="a8"/>
        <w:tblW w:w="8522" w:type="dxa"/>
        <w:tblInd w:w="-103" w:type="dxa"/>
        <w:tblLayout w:type="fixed"/>
        <w:tblLook w:val="04A0"/>
      </w:tblPr>
      <w:tblGrid>
        <w:gridCol w:w="4261"/>
        <w:gridCol w:w="4261"/>
      </w:tblGrid>
      <w:tr w:rsidR="00ED7C4E" w:rsidRPr="005E5B8D" w:rsidTr="006B437F"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功率</w:t>
            </w:r>
          </w:p>
        </w:tc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10W</w:t>
            </w:r>
          </w:p>
        </w:tc>
      </w:tr>
      <w:tr w:rsidR="00ED7C4E" w:rsidRPr="005E5B8D" w:rsidTr="006B437F"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工作电压、频率</w:t>
            </w:r>
          </w:p>
        </w:tc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220V，50Hz</w:t>
            </w:r>
          </w:p>
        </w:tc>
      </w:tr>
      <w:tr w:rsidR="00ED7C4E" w:rsidRPr="005E5B8D" w:rsidTr="006B437F"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噪音</w:t>
            </w:r>
          </w:p>
        </w:tc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≤50dB(A)</w:t>
            </w:r>
          </w:p>
        </w:tc>
      </w:tr>
      <w:tr w:rsidR="00ED7C4E" w:rsidRPr="005E5B8D" w:rsidTr="006B437F"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气泵流量范围</w:t>
            </w:r>
          </w:p>
        </w:tc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5~8升/分钟</w:t>
            </w:r>
          </w:p>
        </w:tc>
      </w:tr>
      <w:tr w:rsidR="00ED7C4E" w:rsidRPr="005E5B8D" w:rsidTr="006B437F"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外形尺寸</w:t>
            </w:r>
          </w:p>
        </w:tc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≤25.5*12.5*10</w:t>
            </w:r>
          </w:p>
        </w:tc>
      </w:tr>
      <w:tr w:rsidR="00ED7C4E" w:rsidRPr="005E5B8D" w:rsidTr="006B437F"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重量</w:t>
            </w:r>
          </w:p>
        </w:tc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≤1250克</w:t>
            </w:r>
          </w:p>
        </w:tc>
      </w:tr>
      <w:tr w:rsidR="00ED7C4E" w:rsidRPr="005E5B8D" w:rsidTr="006B437F"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交替波动周期</w:t>
            </w:r>
          </w:p>
        </w:tc>
        <w:tc>
          <w:tcPr>
            <w:tcW w:w="4261" w:type="dxa"/>
          </w:tcPr>
          <w:p w:rsidR="00ED7C4E" w:rsidRPr="005E5B8D" w:rsidRDefault="00ED7C4E" w:rsidP="006B437F">
            <w:pPr>
              <w:jc w:val="left"/>
              <w:rPr>
                <w:rFonts w:ascii="仿宋" w:eastAsia="仿宋" w:hAnsi="仿宋" w:cs="仿宋"/>
                <w:color w:val="000000" w:themeColor="text1"/>
                <w:sz w:val="30"/>
                <w:szCs w:val="30"/>
              </w:rPr>
            </w:pPr>
            <w:r w:rsidRPr="005E5B8D">
              <w:rPr>
                <w:rFonts w:ascii="仿宋" w:eastAsia="仿宋" w:hAnsi="仿宋" w:cs="仿宋" w:hint="eastAsia"/>
                <w:color w:val="000000" w:themeColor="text1"/>
                <w:sz w:val="30"/>
                <w:szCs w:val="30"/>
              </w:rPr>
              <w:t>10-12分钟交替波动一次</w:t>
            </w:r>
          </w:p>
        </w:tc>
      </w:tr>
    </w:tbl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  <w:sectPr w:rsidR="00ED7C4E" w:rsidRPr="005E5B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D7C4E" w:rsidRPr="005E5B8D" w:rsidRDefault="00ED7C4E" w:rsidP="00ED7C4E">
      <w:pPr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  <w:r w:rsidRPr="005E5B8D"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</w:rPr>
        <w:lastRenderedPageBreak/>
        <w:t>亚低温治疗仪采购需求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一</w:t>
      </w: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、技术参数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1、双核半导体控温系统：两套独立的大功率控温模块，等效于两台压缩机，设置“降温/升温”，设备在制冷和制热功能之间切换，提高设备使用率灵活性和便捷性；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2、显示界面：7寸全智能化触摸屏，中文菜单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3、输出结构：双路输出，双温控制，可毯、软帽同时使用4、双模式控温：手动控温模式，自动控温模式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4.1体温传感器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自动模式设置功能：设置体温参数，设备将患者体温控制在设定值。制冷设置范围：30℃～40℃，步进值0.1℃。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制热设置范围：30℃～37℃，步进值0.1℃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体温传感器监测范围：25℃～43℃，允差±0.2℃。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4.2循环液体温度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手动模式设置功能：设置循环水温参数，设备将循环水温恒定控制在设定值。制冷设置范围：4℃～36℃，步进值0.5℃。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制热设置范围：30℃～40℃，步进值0.5℃。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循环液体温度控制：循环液体温度允差±1℃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5、进口自锁快速接头，使用操作更方便、简捷、移动自如，防止液体泄漏6、空载平均速率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6.1制冷空载速率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lastRenderedPageBreak/>
        <w:t>制冷工作状态，在25℃至10℃温度下降区间内，取不小于8℃的温度差数值，制冷空载速率不小于1.5℃/min。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6.2制热空载速率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制热工作状态，在30℃至40℃温度上升区间内，取不小于8℃的温度差数值，制热空载速率不小于2.5℃/min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7、负载最大平均速率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制冷负载最大平均速率不小于3℃/h制热载最大平均速率不小1/h8、提示功能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8.1循环液体温度超过42℃时，设备停止工作，并具有提示音8.2水箱内液体不足时，设备停止工作，并具有提示音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8.3体温传感器监测功能异常（检测温度不在28℃—42℃范围内）时，设备显示界面提示，并具有提示音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8.4设备通过按键设置，可在制冷和制热模式之间切换，当设备未经回温时切换，具有显示界面提示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9、连续循环输出：两组连续水循环，患者的热量连续不断被带走，效率高，并且毯温度与毯内水温一致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10、体温探头（传感器）出现故障，不影响手动控温模式工作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11、蜂窝毯特点：液体专用TPU内胆、抗菌、抗老化、柔软、强度高、耐用，水流均匀，冷、热传导效率高，聚氨酯材质蜂窝状设计增加了导热面积，水流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无死角，还具有防褥疮功能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12、工作噪声：设备正常工作时，噪声≤60dB（A）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lastRenderedPageBreak/>
        <w:t>13、承重要求：控温毯正常工作时，毯子承重≥135kg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14、密封性：控温毯循环管路密封良好，无泄漏现象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15、控温配件标配尺寸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软帽：550mm*500mm，允差土5%，不可加硬帽，其他部位可以加毯子：I型970mm*550mm，允差±5%</w:t>
      </w: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16、</w:t>
      </w: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安全要求符合GB9706.1—2007的要求</w:t>
      </w:r>
    </w:p>
    <w:p w:rsidR="00ED7C4E" w:rsidRPr="005E5B8D" w:rsidRDefault="00ED7C4E" w:rsidP="00ED7C4E">
      <w:pPr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r w:rsidRPr="005E5B8D">
        <w:rPr>
          <w:rFonts w:ascii="仿宋" w:eastAsia="仿宋" w:hAnsi="仿宋" w:cs="仿宋" w:hint="eastAsia"/>
          <w:color w:val="000000" w:themeColor="text1"/>
          <w:sz w:val="30"/>
          <w:szCs w:val="30"/>
        </w:rPr>
        <w:t>17、</w:t>
      </w:r>
      <w:r w:rsidRPr="005E5B8D">
        <w:rPr>
          <w:rFonts w:ascii="仿宋" w:eastAsia="仿宋" w:hAnsi="仿宋" w:cs="仿宋"/>
          <w:color w:val="000000" w:themeColor="text1"/>
          <w:sz w:val="30"/>
          <w:szCs w:val="30"/>
        </w:rPr>
        <w:t>电磁兼容符合YY0505—2012的要求</w:t>
      </w:r>
    </w:p>
    <w:p w:rsidR="00ED7C4E" w:rsidRPr="005E5B8D" w:rsidRDefault="00ED7C4E" w:rsidP="001B20F7">
      <w:pPr>
        <w:tabs>
          <w:tab w:val="left" w:pos="0"/>
        </w:tabs>
        <w:jc w:val="both"/>
        <w:rPr>
          <w:color w:val="000000" w:themeColor="text1"/>
          <w:sz w:val="24"/>
        </w:rPr>
      </w:pPr>
    </w:p>
    <w:sectPr w:rsidR="00ED7C4E" w:rsidRPr="005E5B8D" w:rsidSect="00A26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8B0" w:rsidRDefault="00F768B0" w:rsidP="00ED7C4E">
      <w:r>
        <w:separator/>
      </w:r>
    </w:p>
  </w:endnote>
  <w:endnote w:type="continuationSeparator" w:id="1">
    <w:p w:rsidR="00F768B0" w:rsidRDefault="00F768B0" w:rsidP="00ED7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8B0" w:rsidRDefault="00F768B0" w:rsidP="00ED7C4E">
      <w:r>
        <w:separator/>
      </w:r>
    </w:p>
  </w:footnote>
  <w:footnote w:type="continuationSeparator" w:id="1">
    <w:p w:rsidR="00F768B0" w:rsidRDefault="00F768B0" w:rsidP="00ED7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13" w:rsidRDefault="00A26913" w:rsidP="00ED7C4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8EF681"/>
    <w:multiLevelType w:val="singleLevel"/>
    <w:tmpl w:val="AD8EF6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E6258FA"/>
    <w:multiLevelType w:val="singleLevel"/>
    <w:tmpl w:val="EE6258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7820447"/>
    <w:multiLevelType w:val="singleLevel"/>
    <w:tmpl w:val="F78204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E306665"/>
    <w:multiLevelType w:val="singleLevel"/>
    <w:tmpl w:val="3E3066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66F2A4B"/>
    <w:multiLevelType w:val="singleLevel"/>
    <w:tmpl w:val="566F2A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9017991"/>
    <w:multiLevelType w:val="singleLevel"/>
    <w:tmpl w:val="590179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F5B00D2"/>
    <w:multiLevelType w:val="singleLevel"/>
    <w:tmpl w:val="6F5B00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1MWNlMzJjZDVkZjAxMzA5YjhkZDEzZmExMjVhZWMifQ=="/>
  </w:docVars>
  <w:rsids>
    <w:rsidRoot w:val="00AC43FC"/>
    <w:rsid w:val="001435C8"/>
    <w:rsid w:val="0015504E"/>
    <w:rsid w:val="001B20F7"/>
    <w:rsid w:val="001D3BE4"/>
    <w:rsid w:val="0029198D"/>
    <w:rsid w:val="00292ADC"/>
    <w:rsid w:val="002931DE"/>
    <w:rsid w:val="00382529"/>
    <w:rsid w:val="003902B5"/>
    <w:rsid w:val="003B5D33"/>
    <w:rsid w:val="003E2BE2"/>
    <w:rsid w:val="0044214C"/>
    <w:rsid w:val="00493BA1"/>
    <w:rsid w:val="004D179A"/>
    <w:rsid w:val="005E5B8D"/>
    <w:rsid w:val="00684E3B"/>
    <w:rsid w:val="006B6DDB"/>
    <w:rsid w:val="00743AAD"/>
    <w:rsid w:val="00784614"/>
    <w:rsid w:val="007C4D91"/>
    <w:rsid w:val="007D3E55"/>
    <w:rsid w:val="00952AF7"/>
    <w:rsid w:val="0098548B"/>
    <w:rsid w:val="00A26913"/>
    <w:rsid w:val="00A45844"/>
    <w:rsid w:val="00A82A5D"/>
    <w:rsid w:val="00AC43FC"/>
    <w:rsid w:val="00B772A9"/>
    <w:rsid w:val="00C80C2C"/>
    <w:rsid w:val="00CA51A6"/>
    <w:rsid w:val="00D513E0"/>
    <w:rsid w:val="00DA53C8"/>
    <w:rsid w:val="00ED7C4E"/>
    <w:rsid w:val="00F01E94"/>
    <w:rsid w:val="00F066C2"/>
    <w:rsid w:val="00F768B0"/>
    <w:rsid w:val="00F84022"/>
    <w:rsid w:val="00F84B13"/>
    <w:rsid w:val="00F95CE0"/>
    <w:rsid w:val="033E1BFE"/>
    <w:rsid w:val="041376E6"/>
    <w:rsid w:val="06F91BC7"/>
    <w:rsid w:val="07936306"/>
    <w:rsid w:val="0B797F11"/>
    <w:rsid w:val="0F5A4B6B"/>
    <w:rsid w:val="1235718D"/>
    <w:rsid w:val="16A4694B"/>
    <w:rsid w:val="17141B46"/>
    <w:rsid w:val="17667DE9"/>
    <w:rsid w:val="19D77386"/>
    <w:rsid w:val="1AFD523A"/>
    <w:rsid w:val="1B4F315C"/>
    <w:rsid w:val="1EC40092"/>
    <w:rsid w:val="22757FF3"/>
    <w:rsid w:val="24CA5ED0"/>
    <w:rsid w:val="25BE7A27"/>
    <w:rsid w:val="25CC175F"/>
    <w:rsid w:val="25DA0450"/>
    <w:rsid w:val="27D56FF1"/>
    <w:rsid w:val="2B053749"/>
    <w:rsid w:val="2D263E4A"/>
    <w:rsid w:val="2E691D7B"/>
    <w:rsid w:val="2E794ABE"/>
    <w:rsid w:val="32821B23"/>
    <w:rsid w:val="36590DED"/>
    <w:rsid w:val="384B051F"/>
    <w:rsid w:val="3A08699C"/>
    <w:rsid w:val="3C915C0E"/>
    <w:rsid w:val="3D2C6A1C"/>
    <w:rsid w:val="3EA36C7E"/>
    <w:rsid w:val="4182569C"/>
    <w:rsid w:val="42A34393"/>
    <w:rsid w:val="42A46591"/>
    <w:rsid w:val="46CC57EA"/>
    <w:rsid w:val="47484C91"/>
    <w:rsid w:val="482F7BFF"/>
    <w:rsid w:val="4A1E5A53"/>
    <w:rsid w:val="4A9C592C"/>
    <w:rsid w:val="51916E82"/>
    <w:rsid w:val="53894668"/>
    <w:rsid w:val="53BA17D6"/>
    <w:rsid w:val="55BF6CCD"/>
    <w:rsid w:val="586E207E"/>
    <w:rsid w:val="5B2353A2"/>
    <w:rsid w:val="5CFE0AC8"/>
    <w:rsid w:val="62E53885"/>
    <w:rsid w:val="657809E0"/>
    <w:rsid w:val="66C27892"/>
    <w:rsid w:val="695347F7"/>
    <w:rsid w:val="696316B8"/>
    <w:rsid w:val="6C4E3951"/>
    <w:rsid w:val="6E522AE8"/>
    <w:rsid w:val="6FBE3493"/>
    <w:rsid w:val="71207B73"/>
    <w:rsid w:val="7352461E"/>
    <w:rsid w:val="750A13FE"/>
    <w:rsid w:val="77CE5B33"/>
    <w:rsid w:val="7D070B44"/>
    <w:rsid w:val="7E8B4E88"/>
    <w:rsid w:val="7E941F8F"/>
    <w:rsid w:val="7FDA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D7C4E"/>
    <w:pPr>
      <w:jc w:val="center"/>
    </w:pPr>
    <w:rPr>
      <w:rFonts w:ascii="宋体" w:hAnsi="宋体" w:cstheme="minorBidi"/>
      <w:kern w:val="2"/>
      <w:sz w:val="32"/>
      <w:szCs w:val="32"/>
    </w:rPr>
  </w:style>
  <w:style w:type="paragraph" w:styleId="3">
    <w:name w:val="heading 3"/>
    <w:uiPriority w:val="1"/>
    <w:qFormat/>
    <w:rsid w:val="00A26913"/>
    <w:pPr>
      <w:widowControl w:val="0"/>
      <w:spacing w:before="50"/>
      <w:ind w:left="1433"/>
      <w:jc w:val="both"/>
      <w:outlineLvl w:val="2"/>
    </w:pPr>
    <w:rPr>
      <w:rFonts w:ascii="仿宋" w:eastAsia="仿宋" w:hAnsi="仿宋" w:cs="仿宋"/>
      <w:b/>
      <w:bCs/>
      <w:kern w:val="2"/>
      <w:sz w:val="36"/>
      <w:szCs w:val="36"/>
    </w:rPr>
  </w:style>
  <w:style w:type="paragraph" w:styleId="4">
    <w:name w:val="heading 4"/>
    <w:uiPriority w:val="1"/>
    <w:qFormat/>
    <w:rsid w:val="00A26913"/>
    <w:pPr>
      <w:widowControl w:val="0"/>
      <w:spacing w:before="151"/>
      <w:ind w:left="1013"/>
      <w:jc w:val="both"/>
      <w:outlineLvl w:val="3"/>
    </w:pPr>
    <w:rPr>
      <w:rFonts w:ascii="仿宋" w:eastAsia="仿宋" w:hAnsi="仿宋" w:cs="仿宋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qFormat/>
    <w:rsid w:val="00A26913"/>
    <w:pPr>
      <w:widowControl w:val="0"/>
      <w:jc w:val="both"/>
    </w:pPr>
    <w:rPr>
      <w:rFonts w:ascii="仿宋" w:eastAsia="仿宋" w:hAnsi="仿宋" w:cs="仿宋"/>
      <w:kern w:val="2"/>
      <w:sz w:val="32"/>
      <w:szCs w:val="32"/>
    </w:rPr>
  </w:style>
  <w:style w:type="paragraph" w:styleId="a4">
    <w:name w:val="Body Text Indent"/>
    <w:autoRedefine/>
    <w:qFormat/>
    <w:rsid w:val="00A26913"/>
    <w:pPr>
      <w:widowControl w:val="0"/>
      <w:ind w:firstLineChars="200" w:firstLine="560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paragraph" w:styleId="a5">
    <w:name w:val="footer"/>
    <w:basedOn w:val="a"/>
    <w:link w:val="Char"/>
    <w:uiPriority w:val="99"/>
    <w:qFormat/>
    <w:rsid w:val="00A26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rsid w:val="00A2691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autoRedefine/>
    <w:qFormat/>
    <w:rsid w:val="00A2691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autoRedefine/>
    <w:qFormat/>
    <w:rsid w:val="00A2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autoRedefine/>
    <w:qFormat/>
    <w:rsid w:val="00A26913"/>
    <w:rPr>
      <w:b/>
    </w:rPr>
  </w:style>
  <w:style w:type="character" w:customStyle="1" w:styleId="font01">
    <w:name w:val="font01"/>
    <w:basedOn w:val="a0"/>
    <w:qFormat/>
    <w:rsid w:val="00A2691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A2691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A26913"/>
    <w:rPr>
      <w:rFonts w:ascii="Arial" w:hAnsi="Arial" w:cs="Arial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A26913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paragraph" w:styleId="aa">
    <w:name w:val="List Paragraph"/>
    <w:uiPriority w:val="1"/>
    <w:qFormat/>
    <w:rsid w:val="00A26913"/>
    <w:pPr>
      <w:widowControl w:val="0"/>
      <w:ind w:left="1013" w:firstLine="640"/>
      <w:jc w:val="both"/>
    </w:pPr>
    <w:rPr>
      <w:rFonts w:ascii="仿宋" w:eastAsia="仿宋" w:hAnsi="仿宋" w:cs="仿宋"/>
      <w:kern w:val="2"/>
      <w:sz w:val="21"/>
      <w:szCs w:val="24"/>
    </w:rPr>
  </w:style>
  <w:style w:type="character" w:customStyle="1" w:styleId="Char0">
    <w:name w:val="页眉 Char"/>
    <w:basedOn w:val="a0"/>
    <w:link w:val="a6"/>
    <w:uiPriority w:val="99"/>
    <w:qFormat/>
    <w:rsid w:val="00A2691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A2691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">
    <w:name w:val="p"/>
    <w:basedOn w:val="a"/>
    <w:rsid w:val="00A26913"/>
    <w:pPr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styleId="ab">
    <w:name w:val="Balloon Text"/>
    <w:basedOn w:val="a"/>
    <w:link w:val="Char1"/>
    <w:rsid w:val="00ED7C4E"/>
    <w:rPr>
      <w:sz w:val="18"/>
      <w:szCs w:val="18"/>
    </w:rPr>
  </w:style>
  <w:style w:type="character" w:customStyle="1" w:styleId="Char1">
    <w:name w:val="批注框文本 Char"/>
    <w:basedOn w:val="a0"/>
    <w:link w:val="ab"/>
    <w:rsid w:val="00ED7C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303</Words>
  <Characters>1732</Characters>
  <Application>Microsoft Office Word</Application>
  <DocSecurity>0</DocSecurity>
  <Lines>14</Lines>
  <Paragraphs>4</Paragraphs>
  <ScaleCrop>false</ScaleCrop>
  <Company>P R C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张峰</dc:creator>
  <cp:lastModifiedBy>Windows User</cp:lastModifiedBy>
  <cp:revision>17</cp:revision>
  <dcterms:created xsi:type="dcterms:W3CDTF">2024-02-27T09:32:00Z</dcterms:created>
  <dcterms:modified xsi:type="dcterms:W3CDTF">2024-09-06T09:14:00Z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E8212697D8534207AE79BAD236A84B16_13</vt:lpwstr>
  </property>
</Properties>
</file>